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000000"/>
          <w:sz w:val="52"/>
          <w:szCs w:val="52"/>
        </w:rPr>
      </w:pPr>
      <w:bookmarkStart w:id="0" w:name="_Toc382939441"/>
      <w:bookmarkStart w:id="1" w:name="_Toc186513155"/>
      <w:bookmarkStart w:id="2" w:name="_Toc389839397"/>
    </w:p>
    <w:p>
      <w:pPr>
        <w:spacing w:line="360" w:lineRule="auto"/>
        <w:jc w:val="center"/>
        <w:rPr>
          <w:rFonts w:ascii="宋体" w:hAnsi="宋体"/>
          <w:b/>
          <w:color w:val="000000"/>
          <w:sz w:val="52"/>
          <w:szCs w:val="52"/>
        </w:rPr>
      </w:pPr>
    </w:p>
    <w:p>
      <w:pPr>
        <w:spacing w:line="360" w:lineRule="auto"/>
        <w:jc w:val="center"/>
        <w:rPr>
          <w:rFonts w:ascii="宋体" w:hAnsi="宋体"/>
          <w:color w:val="000000"/>
          <w:sz w:val="52"/>
          <w:szCs w:val="52"/>
        </w:rPr>
      </w:pPr>
      <w:r>
        <w:rPr>
          <w:rFonts w:hint="eastAsia" w:ascii="宋体" w:hAnsi="宋体"/>
          <w:color w:val="000000"/>
          <w:sz w:val="44"/>
          <w:szCs w:val="52"/>
        </w:rPr>
        <w:t>云南理工职业学院</w:t>
      </w:r>
    </w:p>
    <w:p>
      <w:pPr>
        <w:spacing w:line="360" w:lineRule="auto"/>
        <w:jc w:val="center"/>
        <w:rPr>
          <w:rFonts w:ascii="宋体" w:hAnsi="宋体"/>
          <w:b/>
          <w:color w:val="000000"/>
          <w:sz w:val="52"/>
          <w:szCs w:val="52"/>
        </w:rPr>
      </w:pPr>
      <w:r>
        <w:rPr>
          <w:rFonts w:hint="eastAsia" w:ascii="宋体" w:hAnsi="宋体"/>
          <w:b/>
          <w:color w:val="000000"/>
          <w:sz w:val="52"/>
          <w:szCs w:val="52"/>
        </w:rPr>
        <w:t>网络舆情监测</w:t>
      </w:r>
      <w:r>
        <w:rPr>
          <w:rFonts w:ascii="宋体" w:hAnsi="宋体"/>
          <w:b/>
          <w:color w:val="000000"/>
          <w:sz w:val="52"/>
          <w:szCs w:val="52"/>
        </w:rPr>
        <w:t>服务</w:t>
      </w:r>
      <w:r>
        <w:rPr>
          <w:rFonts w:hint="eastAsia" w:ascii="宋体" w:hAnsi="宋体"/>
          <w:b/>
          <w:color w:val="000000"/>
          <w:sz w:val="52"/>
          <w:szCs w:val="52"/>
        </w:rPr>
        <w:t>采购项目</w:t>
      </w:r>
    </w:p>
    <w:p>
      <w:pPr>
        <w:spacing w:line="360" w:lineRule="auto"/>
        <w:jc w:val="center"/>
        <w:rPr>
          <w:rFonts w:ascii="宋体" w:hAnsi="宋体"/>
          <w:b/>
          <w:color w:val="000000"/>
          <w:sz w:val="52"/>
          <w:szCs w:val="52"/>
        </w:rPr>
      </w:pPr>
    </w:p>
    <w:p>
      <w:pPr>
        <w:spacing w:line="360" w:lineRule="auto"/>
        <w:jc w:val="center"/>
        <w:rPr>
          <w:rFonts w:ascii="宋体" w:hAnsi="宋体"/>
          <w:b/>
          <w:color w:val="000000"/>
          <w:spacing w:val="20"/>
          <w:sz w:val="72"/>
          <w:szCs w:val="72"/>
        </w:rPr>
      </w:pPr>
      <w:r>
        <w:rPr>
          <w:rFonts w:hint="eastAsia" w:ascii="宋体" w:hAnsi="宋体"/>
          <w:b/>
          <w:color w:val="000000"/>
          <w:spacing w:val="20"/>
          <w:sz w:val="72"/>
          <w:szCs w:val="72"/>
        </w:rPr>
        <w:t>竞争性谈判文件</w:t>
      </w:r>
    </w:p>
    <w:p>
      <w:pPr>
        <w:spacing w:line="360" w:lineRule="auto"/>
        <w:jc w:val="center"/>
        <w:rPr>
          <w:rFonts w:ascii="宋体" w:hAnsi="宋体"/>
          <w:b/>
          <w:color w:val="000000"/>
          <w:sz w:val="24"/>
        </w:rPr>
      </w:pPr>
      <w:r>
        <w:rPr>
          <w:rFonts w:hint="eastAsia" w:ascii="宋体" w:hAnsi="宋体"/>
          <w:b/>
          <w:color w:val="000000"/>
          <w:sz w:val="32"/>
          <w:szCs w:val="32"/>
        </w:rPr>
        <w:t>项目编号：</w:t>
      </w:r>
      <w:r>
        <w:rPr>
          <w:rFonts w:ascii="宋体" w:hAnsi="宋体"/>
          <w:b/>
          <w:color w:val="000000"/>
          <w:sz w:val="32"/>
          <w:szCs w:val="32"/>
        </w:rPr>
        <w:t>YNLGZB</w:t>
      </w:r>
      <w:r>
        <w:rPr>
          <w:rFonts w:hint="eastAsia" w:ascii="宋体" w:hAnsi="宋体"/>
          <w:b/>
          <w:color w:val="000000"/>
          <w:sz w:val="32"/>
          <w:szCs w:val="32"/>
        </w:rPr>
        <w:t>-202</w:t>
      </w:r>
      <w:r>
        <w:rPr>
          <w:rFonts w:ascii="宋体" w:hAnsi="宋体"/>
          <w:b/>
          <w:color w:val="000000"/>
          <w:sz w:val="32"/>
          <w:szCs w:val="32"/>
        </w:rPr>
        <w:t>3</w:t>
      </w:r>
      <w:r>
        <w:rPr>
          <w:rFonts w:hint="eastAsia" w:ascii="宋体" w:hAnsi="宋体"/>
          <w:b/>
          <w:color w:val="000000"/>
          <w:sz w:val="32"/>
          <w:szCs w:val="32"/>
        </w:rPr>
        <w:t>-06</w:t>
      </w:r>
    </w:p>
    <w:p>
      <w:pPr>
        <w:spacing w:line="360" w:lineRule="auto"/>
        <w:jc w:val="center"/>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p>
    <w:p>
      <w:pPr>
        <w:tabs>
          <w:tab w:val="left" w:pos="8280"/>
          <w:tab w:val="left" w:pos="8820"/>
        </w:tabs>
        <w:snapToGrid w:val="0"/>
        <w:spacing w:before="240" w:beforeLines="100" w:line="480" w:lineRule="auto"/>
        <w:rPr>
          <w:rFonts w:ascii="宋体" w:hAnsi="宋体"/>
          <w:b/>
          <w:color w:val="000000"/>
          <w:sz w:val="32"/>
          <w:u w:val="single"/>
        </w:rPr>
      </w:pPr>
      <w:r>
        <w:rPr>
          <w:rFonts w:hint="eastAsia" w:ascii="宋体" w:hAnsi="宋体"/>
          <w:b/>
          <w:color w:val="000000"/>
          <w:sz w:val="32"/>
        </w:rPr>
        <w:t xml:space="preserve">           招</w:t>
      </w:r>
      <w:r>
        <w:rPr>
          <w:rFonts w:ascii="宋体" w:hAnsi="宋体"/>
          <w:b/>
          <w:color w:val="000000"/>
          <w:sz w:val="32"/>
        </w:rPr>
        <w:t>标人:</w:t>
      </w:r>
      <w:r>
        <w:rPr>
          <w:rFonts w:hint="eastAsia" w:ascii="宋体" w:hAnsi="宋体"/>
          <w:b/>
          <w:color w:val="000000"/>
          <w:sz w:val="30"/>
          <w:szCs w:val="30"/>
          <w:u w:val="single"/>
        </w:rPr>
        <w:t>云南理工职业学院有限公司</w:t>
      </w:r>
      <w:r>
        <w:rPr>
          <w:rFonts w:hint="eastAsia" w:ascii="宋体" w:hAnsi="宋体"/>
          <w:b/>
          <w:color w:val="000000"/>
          <w:sz w:val="32"/>
          <w:u w:val="single"/>
        </w:rPr>
        <w:t>（盖章）</w:t>
      </w:r>
    </w:p>
    <w:p>
      <w:pPr>
        <w:snapToGrid w:val="0"/>
        <w:spacing w:line="480" w:lineRule="auto"/>
        <w:rPr>
          <w:rFonts w:ascii="宋体" w:hAnsi="宋体"/>
          <w:b/>
          <w:color w:val="000000"/>
          <w:sz w:val="32"/>
          <w:u w:val="single"/>
        </w:rPr>
      </w:pPr>
    </w:p>
    <w:p>
      <w:pPr>
        <w:snapToGrid w:val="0"/>
        <w:spacing w:line="480" w:lineRule="auto"/>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r>
        <w:rPr>
          <w:rFonts w:hint="eastAsia" w:ascii="宋体" w:hAnsi="宋体"/>
          <w:b/>
          <w:color w:val="000000"/>
          <w:sz w:val="32"/>
        </w:rPr>
        <w:t>日</w:t>
      </w:r>
      <w:r>
        <w:rPr>
          <w:rFonts w:ascii="宋体" w:hAnsi="宋体"/>
          <w:b/>
          <w:color w:val="000000"/>
          <w:sz w:val="32"/>
        </w:rPr>
        <w:t xml:space="preserve">  期：</w:t>
      </w:r>
      <w:r>
        <w:rPr>
          <w:rFonts w:hint="eastAsia" w:ascii="宋体" w:hAnsi="宋体"/>
          <w:b/>
          <w:color w:val="000000"/>
          <w:sz w:val="32"/>
        </w:rPr>
        <w:t>2023年3月</w:t>
      </w:r>
    </w:p>
    <w:p>
      <w:pPr>
        <w:jc w:val="center"/>
        <w:rPr>
          <w:rFonts w:ascii="宋体" w:hAnsi="宋体"/>
          <w:b/>
          <w:color w:val="000000"/>
          <w:sz w:val="32"/>
        </w:rPr>
      </w:pPr>
    </w:p>
    <w:p>
      <w:pPr>
        <w:jc w:val="center"/>
        <w:rPr>
          <w:rFonts w:ascii="宋体" w:hAnsi="宋体"/>
          <w:b/>
          <w:color w:val="000000"/>
          <w:sz w:val="32"/>
        </w:rPr>
      </w:pPr>
    </w:p>
    <w:p>
      <w:pP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color w:val="000000"/>
          <w:sz w:val="32"/>
        </w:rPr>
      </w:pPr>
    </w:p>
    <w:p>
      <w:pPr>
        <w:jc w:val="center"/>
        <w:rPr>
          <w:rFonts w:ascii="宋体" w:hAnsi="宋体"/>
          <w:b/>
          <w:bCs/>
          <w:color w:val="000000"/>
          <w:sz w:val="30"/>
        </w:rPr>
        <w:sectPr>
          <w:headerReference r:id="rId4" w:type="first"/>
          <w:headerReference r:id="rId3" w:type="default"/>
          <w:footerReference r:id="rId5" w:type="default"/>
          <w:pgSz w:w="11906" w:h="16838"/>
          <w:pgMar w:top="1134" w:right="1087" w:bottom="1134" w:left="1359" w:header="851" w:footer="992" w:gutter="0"/>
          <w:pgNumType w:start="1"/>
          <w:cols w:space="720" w:num="1"/>
          <w:docGrid w:linePitch="312" w:charSpace="0"/>
        </w:sectPr>
      </w:pPr>
    </w:p>
    <w:p>
      <w:pPr>
        <w:jc w:val="center"/>
        <w:rPr>
          <w:rFonts w:ascii="宋体" w:hAnsi="宋体"/>
          <w:b/>
          <w:bCs/>
          <w:color w:val="000000"/>
          <w:sz w:val="32"/>
          <w:szCs w:val="32"/>
        </w:rPr>
      </w:pPr>
      <w:r>
        <w:rPr>
          <w:rFonts w:hint="eastAsia" w:ascii="宋体" w:hAnsi="宋体"/>
          <w:b/>
          <w:bCs/>
          <w:color w:val="000000"/>
          <w:sz w:val="32"/>
          <w:szCs w:val="32"/>
        </w:rPr>
        <w:t>目  录</w:t>
      </w:r>
    </w:p>
    <w:p>
      <w:pPr>
        <w:jc w:val="center"/>
        <w:rPr>
          <w:rFonts w:ascii="宋体" w:hAnsi="宋体"/>
          <w:b/>
          <w:bCs/>
          <w:color w:val="000000"/>
          <w:sz w:val="32"/>
          <w:szCs w:val="32"/>
        </w:rPr>
      </w:pPr>
    </w:p>
    <w:p>
      <w:pPr>
        <w:jc w:val="center"/>
        <w:rPr>
          <w:rFonts w:ascii="宋体" w:hAnsi="宋体"/>
          <w:b/>
          <w:bCs/>
          <w:color w:val="000000"/>
          <w:sz w:val="32"/>
          <w:szCs w:val="32"/>
        </w:rPr>
      </w:pPr>
    </w:p>
    <w:p>
      <w:pPr>
        <w:pStyle w:val="20"/>
        <w:tabs>
          <w:tab w:val="right" w:leader="dot" w:pos="9450"/>
        </w:tabs>
        <w:spacing w:line="480" w:lineRule="auto"/>
        <w:ind w:firstLine="482" w:firstLineChars="200"/>
        <w:rPr>
          <w:rFonts w:ascii="Calibri" w:hAnsi="Calibri"/>
          <w:sz w:val="28"/>
          <w:szCs w:val="28"/>
        </w:rPr>
      </w:pPr>
      <w:r>
        <w:rPr>
          <w:rFonts w:hint="eastAsia" w:ascii="宋体" w:hAnsi="宋体" w:cs="仿宋"/>
          <w:b/>
          <w:color w:val="000000"/>
          <w:sz w:val="24"/>
        </w:rPr>
        <w:fldChar w:fldCharType="begin"/>
      </w:r>
      <w:r>
        <w:rPr>
          <w:rFonts w:hint="eastAsia" w:ascii="宋体" w:hAnsi="宋体" w:cs="仿宋"/>
          <w:b/>
          <w:color w:val="000000"/>
          <w:sz w:val="24"/>
        </w:rPr>
        <w:instrText xml:space="preserve">TOC \o "1-2" \h \u </w:instrText>
      </w:r>
      <w:r>
        <w:rPr>
          <w:rFonts w:hint="eastAsia" w:ascii="宋体" w:hAnsi="宋体" w:cs="仿宋"/>
          <w:b/>
          <w:color w:val="000000"/>
          <w:sz w:val="24"/>
        </w:rPr>
        <w:fldChar w:fldCharType="separate"/>
      </w:r>
      <w:r>
        <w:fldChar w:fldCharType="begin"/>
      </w:r>
      <w:r>
        <w:instrText xml:space="preserve"> HYPERLINK \l "_Toc12476095" </w:instrText>
      </w:r>
      <w:r>
        <w:fldChar w:fldCharType="separate"/>
      </w:r>
      <w:r>
        <w:rPr>
          <w:rStyle w:val="33"/>
          <w:rFonts w:hint="eastAsia" w:ascii="宋体" w:hAnsi="宋体"/>
          <w:bCs/>
          <w:sz w:val="28"/>
          <w:szCs w:val="28"/>
        </w:rPr>
        <w:t>第一章谈判公告</w:t>
      </w:r>
      <w:r>
        <w:rPr>
          <w:sz w:val="28"/>
          <w:szCs w:val="28"/>
        </w:rPr>
        <w:tab/>
      </w:r>
      <w:r>
        <w:rPr>
          <w:sz w:val="28"/>
          <w:szCs w:val="28"/>
        </w:rPr>
        <w:t>4</w:t>
      </w:r>
      <w:r>
        <w:rPr>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"_Toc12476101" </w:instrText>
      </w:r>
      <w:r>
        <w:fldChar w:fldCharType="separate"/>
      </w:r>
      <w:r>
        <w:rPr>
          <w:rStyle w:val="33"/>
          <w:rFonts w:hint="eastAsia" w:ascii="宋体" w:hAnsi="宋体"/>
          <w:bCs/>
          <w:sz w:val="28"/>
          <w:szCs w:val="28"/>
        </w:rPr>
        <w:t>第二章投标人须知</w:t>
      </w:r>
      <w:r>
        <w:rPr>
          <w:sz w:val="28"/>
          <w:szCs w:val="28"/>
        </w:rPr>
        <w:tab/>
      </w:r>
      <w:r>
        <w:rPr>
          <w:rFonts w:hint="eastAsia"/>
          <w:sz w:val="28"/>
          <w:szCs w:val="28"/>
        </w:rPr>
        <w:t>6</w:t>
      </w:r>
      <w:r>
        <w:rPr>
          <w:rFonts w:hint="eastAsia"/>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"_Toc12476104" </w:instrText>
      </w:r>
      <w:r>
        <w:fldChar w:fldCharType="separate"/>
      </w:r>
      <w:r>
        <w:rPr>
          <w:rStyle w:val="33"/>
          <w:rFonts w:hint="eastAsia" w:ascii="宋体" w:hAnsi="宋体"/>
          <w:sz w:val="28"/>
          <w:szCs w:val="28"/>
        </w:rPr>
        <w:t>第三章合同格式</w:t>
      </w:r>
      <w:r>
        <w:rPr>
          <w:sz w:val="28"/>
          <w:szCs w:val="28"/>
        </w:rPr>
        <w:tab/>
      </w:r>
      <w:r>
        <w:rPr>
          <w:rFonts w:hint="eastAsia"/>
          <w:sz w:val="28"/>
          <w:szCs w:val="28"/>
        </w:rPr>
        <w:t>10</w:t>
      </w:r>
      <w:r>
        <w:rPr>
          <w:rFonts w:hint="eastAsia"/>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"_Toc12476122" </w:instrText>
      </w:r>
      <w:r>
        <w:fldChar w:fldCharType="separate"/>
      </w:r>
      <w:r>
        <w:rPr>
          <w:rStyle w:val="33"/>
          <w:rFonts w:hint="eastAsia" w:ascii="宋体" w:hAnsi="宋体"/>
          <w:sz w:val="28"/>
          <w:szCs w:val="28"/>
        </w:rPr>
        <w:t>第四章投标文件格式</w:t>
      </w:r>
      <w:r>
        <w:rPr>
          <w:sz w:val="28"/>
          <w:szCs w:val="28"/>
        </w:rPr>
        <w:tab/>
      </w:r>
      <w:r>
        <w:rPr>
          <w:sz w:val="28"/>
          <w:szCs w:val="28"/>
        </w:rPr>
        <w:fldChar w:fldCharType="begin"/>
      </w:r>
      <w:r>
        <w:rPr>
          <w:sz w:val="28"/>
          <w:szCs w:val="28"/>
        </w:rPr>
        <w:instrText xml:space="preserve"> PAGEREF _Toc12476122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0"/>
        <w:tabs>
          <w:tab w:val="right" w:leader="dot" w:pos="9450"/>
        </w:tabs>
        <w:spacing w:line="480" w:lineRule="auto"/>
        <w:ind w:firstLine="420" w:firstLineChars="200"/>
        <w:rPr>
          <w:rFonts w:ascii="Calibri" w:hAnsi="Calibri"/>
          <w:sz w:val="28"/>
          <w:szCs w:val="28"/>
        </w:rPr>
      </w:pPr>
      <w:r>
        <w:fldChar w:fldCharType="begin"/>
      </w:r>
      <w:r>
        <w:instrText xml:space="preserve"> HYPERLINK \l "_Toc12476136" </w:instrText>
      </w:r>
      <w:r>
        <w:fldChar w:fldCharType="separate"/>
      </w:r>
      <w:r>
        <w:rPr>
          <w:rStyle w:val="33"/>
          <w:rFonts w:hint="eastAsia" w:ascii="宋体" w:hAnsi="宋体"/>
          <w:sz w:val="28"/>
          <w:szCs w:val="28"/>
        </w:rPr>
        <w:t>第五章技术要求</w:t>
      </w:r>
      <w:r>
        <w:rPr>
          <w:sz w:val="28"/>
          <w:szCs w:val="28"/>
        </w:rPr>
        <w:tab/>
      </w:r>
      <w:r>
        <w:rPr>
          <w:sz w:val="28"/>
          <w:szCs w:val="28"/>
        </w:rPr>
        <w:fldChar w:fldCharType="begin"/>
      </w:r>
      <w:r>
        <w:rPr>
          <w:sz w:val="28"/>
          <w:szCs w:val="28"/>
        </w:rPr>
        <w:instrText xml:space="preserve"> PAGEREF _Toc12476136 \h </w:instrText>
      </w:r>
      <w:r>
        <w:rPr>
          <w:sz w:val="28"/>
          <w:szCs w:val="28"/>
        </w:rPr>
        <w:fldChar w:fldCharType="separate"/>
      </w:r>
      <w:r>
        <w:rPr>
          <w:sz w:val="28"/>
          <w:szCs w:val="28"/>
        </w:rPr>
        <w:t>26</w:t>
      </w:r>
      <w:r>
        <w:rPr>
          <w:sz w:val="28"/>
          <w:szCs w:val="28"/>
        </w:rPr>
        <w:fldChar w:fldCharType="end"/>
      </w:r>
      <w:r>
        <w:rPr>
          <w:sz w:val="28"/>
          <w:szCs w:val="28"/>
        </w:rPr>
        <w:fldChar w:fldCharType="end"/>
      </w:r>
    </w:p>
    <w:p>
      <w:pPr>
        <w:ind w:firstLine="482" w:firstLineChars="200"/>
        <w:rPr>
          <w:rFonts w:ascii="宋体" w:hAnsi="宋体" w:cs="仿宋"/>
          <w:b/>
          <w:color w:val="000000"/>
          <w:sz w:val="24"/>
        </w:rPr>
      </w:pPr>
      <w:r>
        <w:rPr>
          <w:rFonts w:hint="eastAsia" w:ascii="宋体" w:hAnsi="宋体" w:cs="仿宋"/>
          <w:b/>
          <w:color w:val="000000"/>
          <w:sz w:val="24"/>
        </w:rPr>
        <w:fldChar w:fldCharType="end"/>
      </w:r>
    </w:p>
    <w:p>
      <w:pPr>
        <w:tabs>
          <w:tab w:val="left" w:pos="3195"/>
        </w:tabs>
        <w:rPr>
          <w:rFonts w:ascii="宋体" w:hAnsi="宋体"/>
          <w:color w:val="000000"/>
          <w:sz w:val="24"/>
        </w:rPr>
      </w:pPr>
      <w:r>
        <w:rPr>
          <w:rFonts w:ascii="宋体" w:hAnsi="宋体"/>
          <w:color w:val="000000"/>
          <w:sz w:val="24"/>
        </w:rPr>
        <w:tab/>
      </w: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rPr>
          <w:rFonts w:ascii="宋体" w:hAnsi="宋体"/>
          <w:color w:val="000000"/>
          <w:sz w:val="24"/>
        </w:rPr>
      </w:pPr>
    </w:p>
    <w:p>
      <w:pPr>
        <w:spacing w:after="120" w:afterLines="50" w:line="360" w:lineRule="auto"/>
        <w:jc w:val="center"/>
        <w:outlineLvl w:val="0"/>
        <w:rPr>
          <w:rFonts w:ascii="宋体" w:hAnsi="宋体"/>
          <w:b/>
          <w:bCs/>
          <w:color w:val="000000"/>
          <w:sz w:val="32"/>
          <w:szCs w:val="32"/>
        </w:rPr>
      </w:pPr>
      <w:bookmarkStart w:id="3" w:name="_Toc18144"/>
      <w:bookmarkStart w:id="4" w:name="_Toc414463477"/>
      <w:bookmarkStart w:id="5" w:name="_Toc12476095"/>
      <w:r>
        <w:rPr>
          <w:rFonts w:hint="eastAsia" w:ascii="宋体" w:hAnsi="宋体"/>
          <w:b/>
          <w:bCs/>
          <w:color w:val="000000"/>
          <w:sz w:val="32"/>
          <w:szCs w:val="32"/>
        </w:rPr>
        <w:t xml:space="preserve">第一章  </w:t>
      </w:r>
      <w:bookmarkEnd w:id="3"/>
      <w:bookmarkEnd w:id="4"/>
      <w:r>
        <w:rPr>
          <w:rFonts w:hint="eastAsia" w:ascii="宋体" w:hAnsi="宋体"/>
          <w:b/>
          <w:bCs/>
          <w:color w:val="000000"/>
          <w:sz w:val="32"/>
          <w:szCs w:val="32"/>
        </w:rPr>
        <w:t>谈判公告</w:t>
      </w:r>
      <w:bookmarkEnd w:id="5"/>
    </w:p>
    <w:p>
      <w:pPr>
        <w:jc w:val="center"/>
        <w:rPr>
          <w:rFonts w:ascii="宋体" w:hAnsi="宋体"/>
          <w:b/>
          <w:color w:val="000000"/>
          <w:sz w:val="28"/>
          <w:szCs w:val="28"/>
        </w:rPr>
      </w:pPr>
      <w:bookmarkStart w:id="6" w:name="_Toc414463478"/>
      <w:bookmarkStart w:id="7" w:name="OLE_LINK4"/>
      <w:r>
        <w:rPr>
          <w:rFonts w:hint="eastAsia" w:ascii="宋体" w:hAnsi="宋体"/>
          <w:b/>
          <w:color w:val="000000"/>
          <w:sz w:val="28"/>
          <w:szCs w:val="28"/>
        </w:rPr>
        <w:t>云南理工职业学院有限公司竞争性谈判公告</w:t>
      </w:r>
    </w:p>
    <w:p>
      <w:pPr>
        <w:jc w:val="center"/>
        <w:rPr>
          <w:rFonts w:ascii="宋体" w:hAnsi="宋体"/>
          <w:b/>
          <w:color w:val="000000"/>
          <w:sz w:val="28"/>
          <w:szCs w:val="28"/>
        </w:rPr>
      </w:pPr>
      <w:bookmarkStart w:id="8" w:name="_Toc425235579"/>
      <w:bookmarkStart w:id="9" w:name="_Toc424762573"/>
      <w:bookmarkStart w:id="10" w:name="_Toc18118"/>
    </w:p>
    <w:bookmarkEnd w:id="6"/>
    <w:bookmarkEnd w:id="8"/>
    <w:bookmarkEnd w:id="9"/>
    <w:bookmarkEnd w:id="10"/>
    <w:p>
      <w:pPr>
        <w:spacing w:line="360" w:lineRule="auto"/>
        <w:jc w:val="left"/>
        <w:outlineLvl w:val="1"/>
        <w:rPr>
          <w:rFonts w:ascii="宋体" w:hAnsi="宋体"/>
          <w:b/>
          <w:color w:val="000000"/>
          <w:sz w:val="24"/>
        </w:rPr>
      </w:pPr>
      <w:bookmarkStart w:id="11" w:name="_Toc12476096"/>
      <w:bookmarkStart w:id="12" w:name="_Toc414463479"/>
      <w:bookmarkStart w:id="13" w:name="_Toc425235580"/>
      <w:bookmarkStart w:id="14" w:name="_Toc424762574"/>
      <w:bookmarkStart w:id="15" w:name="_Toc26195"/>
      <w:r>
        <w:rPr>
          <w:rFonts w:hint="eastAsia" w:ascii="宋体" w:hAnsi="宋体"/>
          <w:b/>
          <w:color w:val="000000"/>
          <w:sz w:val="24"/>
        </w:rPr>
        <w:t>1.招标条件</w:t>
      </w:r>
      <w:bookmarkEnd w:id="11"/>
    </w:p>
    <w:p>
      <w:pPr>
        <w:spacing w:line="360" w:lineRule="auto"/>
        <w:ind w:firstLine="480" w:firstLineChars="200"/>
        <w:jc w:val="left"/>
        <w:rPr>
          <w:rFonts w:ascii="宋体" w:hAnsi="宋体"/>
          <w:b/>
          <w:color w:val="000000"/>
          <w:sz w:val="24"/>
        </w:rPr>
      </w:pPr>
      <w:r>
        <w:rPr>
          <w:rFonts w:hint="eastAsia" w:ascii="宋体" w:hAnsi="宋体"/>
          <w:color w:val="000000"/>
          <w:sz w:val="24"/>
        </w:rPr>
        <w:t>云南理工职业学院网络舆情监测服务采购项目招标</w:t>
      </w:r>
      <w:r>
        <w:rPr>
          <w:rFonts w:ascii="宋体" w:hAnsi="宋体"/>
          <w:color w:val="000000"/>
          <w:sz w:val="24"/>
        </w:rPr>
        <w:t>已获</w:t>
      </w:r>
      <w:r>
        <w:rPr>
          <w:rFonts w:hint="eastAsia" w:ascii="宋体" w:hAnsi="宋体"/>
          <w:color w:val="000000"/>
          <w:sz w:val="24"/>
        </w:rPr>
        <w:t>审核</w:t>
      </w:r>
      <w:r>
        <w:rPr>
          <w:rFonts w:ascii="宋体" w:hAnsi="宋体"/>
          <w:color w:val="000000"/>
          <w:sz w:val="24"/>
        </w:rPr>
        <w:t>批准实施</w:t>
      </w:r>
      <w:r>
        <w:rPr>
          <w:rFonts w:hint="eastAsia" w:ascii="宋体" w:hAnsi="宋体"/>
          <w:color w:val="000000"/>
          <w:sz w:val="24"/>
        </w:rPr>
        <w:t>，项目业主为云南理工职业学院有限公司，建设资金来自企业自筹。现对该项目进行竞争性谈判。</w:t>
      </w:r>
    </w:p>
    <w:bookmarkEnd w:id="12"/>
    <w:bookmarkEnd w:id="13"/>
    <w:bookmarkEnd w:id="14"/>
    <w:bookmarkEnd w:id="15"/>
    <w:p>
      <w:pPr>
        <w:spacing w:line="360" w:lineRule="auto"/>
        <w:jc w:val="left"/>
        <w:outlineLvl w:val="1"/>
        <w:rPr>
          <w:rFonts w:ascii="宋体" w:hAnsi="宋体"/>
          <w:b/>
          <w:color w:val="000000"/>
          <w:sz w:val="24"/>
        </w:rPr>
      </w:pPr>
      <w:bookmarkStart w:id="16" w:name="_Toc12476097"/>
      <w:bookmarkStart w:id="17" w:name="_Toc414463480"/>
      <w:bookmarkStart w:id="18" w:name="_Toc425235581"/>
      <w:bookmarkStart w:id="19" w:name="_Toc7389"/>
      <w:bookmarkStart w:id="20" w:name="_Toc424762575"/>
      <w:r>
        <w:rPr>
          <w:rFonts w:hint="eastAsia" w:ascii="宋体" w:hAnsi="宋体"/>
          <w:b/>
          <w:color w:val="000000"/>
          <w:sz w:val="24"/>
        </w:rPr>
        <w:t>2.项目概况</w:t>
      </w:r>
      <w:bookmarkEnd w:id="16"/>
    </w:p>
    <w:p>
      <w:pPr>
        <w:spacing w:line="360" w:lineRule="auto"/>
        <w:ind w:firstLine="480" w:firstLineChars="200"/>
        <w:rPr>
          <w:rFonts w:ascii="宋体" w:hAnsi="宋体"/>
          <w:color w:val="000000"/>
          <w:sz w:val="24"/>
        </w:rPr>
      </w:pPr>
      <w:r>
        <w:rPr>
          <w:rFonts w:hint="eastAsia" w:ascii="宋体" w:hAnsi="宋体"/>
          <w:color w:val="000000"/>
          <w:sz w:val="24"/>
        </w:rPr>
        <w:t>2.1项目名称：云南理工职业学院网络舆情监测服务采购项目。</w:t>
      </w:r>
    </w:p>
    <w:p>
      <w:pPr>
        <w:spacing w:line="360" w:lineRule="auto"/>
        <w:ind w:firstLine="484" w:firstLineChars="202"/>
        <w:rPr>
          <w:rFonts w:ascii="宋体" w:hAnsi="宋体"/>
          <w:color w:val="000000"/>
          <w:sz w:val="24"/>
        </w:rPr>
      </w:pPr>
      <w:r>
        <w:rPr>
          <w:rFonts w:hint="eastAsia" w:ascii="宋体" w:hAnsi="宋体"/>
          <w:color w:val="000000"/>
          <w:sz w:val="24"/>
        </w:rPr>
        <w:t>2.2招标内容：云南理工职业学院网络舆情监测服务采购，主要包含信息列表、图表分析、精选筛选设置、定向信源设置、预警设置、修改方案等</w:t>
      </w:r>
      <w:r>
        <w:rPr>
          <w:rFonts w:ascii="宋体" w:hAnsi="宋体"/>
          <w:color w:val="000000"/>
          <w:sz w:val="24"/>
        </w:rPr>
        <w:t>，</w:t>
      </w:r>
      <w:r>
        <w:rPr>
          <w:rFonts w:hint="eastAsia" w:ascii="宋体" w:hAnsi="宋体"/>
          <w:color w:val="000000"/>
          <w:sz w:val="24"/>
        </w:rPr>
        <w:t>详见“第五章技术要求”。</w:t>
      </w:r>
    </w:p>
    <w:p>
      <w:pPr>
        <w:pStyle w:val="64"/>
        <w:spacing w:line="360" w:lineRule="auto"/>
        <w:ind w:firstLine="480"/>
        <w:rPr>
          <w:rFonts w:ascii="宋体" w:hAnsi="宋体" w:cs="宋体"/>
          <w:kern w:val="0"/>
          <w:sz w:val="24"/>
        </w:rPr>
      </w:pPr>
      <w:r>
        <w:rPr>
          <w:rFonts w:hint="eastAsia" w:ascii="宋体" w:hAnsi="宋体"/>
          <w:color w:val="000000"/>
          <w:sz w:val="24"/>
        </w:rPr>
        <w:t>2</w:t>
      </w:r>
      <w:r>
        <w:rPr>
          <w:rFonts w:ascii="宋体" w:hAnsi="宋体"/>
          <w:color w:val="000000"/>
          <w:sz w:val="24"/>
        </w:rPr>
        <w:t xml:space="preserve">.3 </w:t>
      </w:r>
      <w:r>
        <w:rPr>
          <w:rFonts w:hint="eastAsia" w:ascii="宋体" w:hAnsi="宋体"/>
          <w:color w:val="000000"/>
          <w:sz w:val="24"/>
        </w:rPr>
        <w:t>完成部署</w:t>
      </w:r>
      <w:r>
        <w:rPr>
          <w:rFonts w:ascii="宋体" w:hAnsi="宋体"/>
          <w:color w:val="000000"/>
          <w:sz w:val="24"/>
        </w:rPr>
        <w:t>时间</w:t>
      </w:r>
      <w:r>
        <w:rPr>
          <w:rFonts w:hint="eastAsia" w:ascii="宋体" w:hAnsi="宋体"/>
          <w:color w:val="000000"/>
          <w:sz w:val="24"/>
        </w:rPr>
        <w:t>：</w:t>
      </w:r>
      <w:r>
        <w:rPr>
          <w:rFonts w:ascii="宋体" w:hAnsi="宋体" w:cs="宋体"/>
          <w:kern w:val="0"/>
          <w:sz w:val="24"/>
        </w:rPr>
        <w:t>7</w:t>
      </w:r>
      <w:r>
        <w:rPr>
          <w:rFonts w:hint="eastAsia" w:ascii="宋体" w:hAnsi="宋体" w:cs="宋体"/>
          <w:kern w:val="0"/>
          <w:sz w:val="24"/>
        </w:rPr>
        <w:t>个日历天</w:t>
      </w:r>
    </w:p>
    <w:p>
      <w:pPr>
        <w:spacing w:line="360" w:lineRule="auto"/>
        <w:ind w:firstLine="480"/>
        <w:rPr>
          <w:rFonts w:ascii="宋体" w:hAnsi="宋体"/>
          <w:color w:val="000000"/>
          <w:sz w:val="24"/>
        </w:rPr>
      </w:pPr>
      <w:bookmarkStart w:id="21" w:name="_Toc12476098"/>
      <w:r>
        <w:rPr>
          <w:rFonts w:hint="eastAsia" w:ascii="宋体" w:hAnsi="宋体"/>
          <w:color w:val="000000"/>
          <w:sz w:val="24"/>
        </w:rPr>
        <w:t>2.4项目地点：安宁市职教园区云南理工职业学院</w:t>
      </w:r>
    </w:p>
    <w:p>
      <w:pPr>
        <w:spacing w:line="360" w:lineRule="auto"/>
        <w:ind w:firstLine="484" w:firstLineChars="202"/>
        <w:rPr>
          <w:rFonts w:ascii="宋体" w:hAnsi="宋体"/>
          <w:color w:val="000000"/>
          <w:sz w:val="24"/>
        </w:rPr>
      </w:pPr>
      <w:r>
        <w:rPr>
          <w:rFonts w:hint="eastAsia" w:ascii="宋体" w:hAnsi="宋体"/>
          <w:color w:val="000000"/>
          <w:sz w:val="24"/>
        </w:rPr>
        <w:t>2.5质量标准：</w:t>
      </w:r>
      <w:r>
        <w:rPr>
          <w:rFonts w:hint="eastAsia" w:ascii="宋体" w:hAnsi="宋体" w:cs="宋体"/>
          <w:sz w:val="24"/>
        </w:rPr>
        <w:t>完全符合国家标准、行业标准以及甲方要求和乙方承诺的质量、规格标准；</w:t>
      </w:r>
      <w:r>
        <w:rPr>
          <w:rFonts w:hint="eastAsia" w:ascii="宋体" w:hAnsi="宋体"/>
          <w:color w:val="000000"/>
          <w:sz w:val="24"/>
        </w:rPr>
        <w:t>符合用户需求。</w:t>
      </w:r>
    </w:p>
    <w:p>
      <w:pPr>
        <w:spacing w:line="360" w:lineRule="auto"/>
        <w:ind w:firstLine="480"/>
        <w:rPr>
          <w:rFonts w:ascii="宋体" w:hAnsi="宋体" w:cs="宋体"/>
          <w:sz w:val="24"/>
        </w:rPr>
      </w:pPr>
      <w:r>
        <w:rPr>
          <w:rFonts w:hint="eastAsia" w:ascii="宋体" w:hAnsi="宋体"/>
          <w:color w:val="000000"/>
          <w:sz w:val="24"/>
        </w:rPr>
        <w:t>2.6服务</w:t>
      </w:r>
      <w:r>
        <w:rPr>
          <w:rFonts w:ascii="宋体" w:hAnsi="宋体"/>
          <w:color w:val="000000"/>
          <w:sz w:val="24"/>
        </w:rPr>
        <w:t>期限：</w:t>
      </w:r>
      <w:r>
        <w:rPr>
          <w:rFonts w:hint="eastAsia" w:ascii="宋体" w:hAnsi="宋体" w:cs="宋体"/>
          <w:sz w:val="24"/>
        </w:rPr>
        <w:t>服务</w:t>
      </w:r>
      <w:r>
        <w:rPr>
          <w:rFonts w:ascii="宋体" w:hAnsi="宋体" w:cs="宋体"/>
          <w:sz w:val="24"/>
        </w:rPr>
        <w:t>期限</w:t>
      </w:r>
      <w:r>
        <w:rPr>
          <w:rFonts w:hint="eastAsia" w:ascii="宋体" w:hAnsi="宋体" w:cs="宋体"/>
          <w:sz w:val="24"/>
        </w:rPr>
        <w:t>为</w:t>
      </w:r>
      <w:r>
        <w:rPr>
          <w:rFonts w:ascii="宋体" w:hAnsi="宋体" w:cs="宋体"/>
          <w:sz w:val="24"/>
        </w:rPr>
        <w:t>3</w:t>
      </w:r>
      <w:r>
        <w:rPr>
          <w:rFonts w:hint="eastAsia" w:ascii="宋体" w:hAnsi="宋体" w:cs="宋体"/>
          <w:sz w:val="24"/>
        </w:rPr>
        <w:t>年</w:t>
      </w:r>
      <w:r>
        <w:rPr>
          <w:rFonts w:ascii="宋体" w:hAnsi="宋体" w:cs="宋体"/>
          <w:sz w:val="24"/>
        </w:rPr>
        <w:t>，</w:t>
      </w:r>
      <w:r>
        <w:rPr>
          <w:rFonts w:hint="eastAsia" w:ascii="宋体" w:hAnsi="宋体" w:cs="宋体"/>
          <w:sz w:val="24"/>
        </w:rPr>
        <w:t>招标</w:t>
      </w:r>
      <w:r>
        <w:rPr>
          <w:rFonts w:ascii="宋体" w:hAnsi="宋体" w:cs="宋体"/>
          <w:sz w:val="24"/>
        </w:rPr>
        <w:t>人有权</w:t>
      </w:r>
      <w:r>
        <w:rPr>
          <w:rFonts w:hint="eastAsia" w:ascii="宋体" w:hAnsi="宋体" w:cs="宋体"/>
          <w:sz w:val="24"/>
        </w:rPr>
        <w:t>根据约定</w:t>
      </w:r>
      <w:r>
        <w:rPr>
          <w:rFonts w:ascii="宋体" w:hAnsi="宋体" w:cs="宋体"/>
          <w:sz w:val="24"/>
        </w:rPr>
        <w:t>的考核办法对中标人进行考核，</w:t>
      </w:r>
      <w:r>
        <w:rPr>
          <w:rFonts w:hint="eastAsia" w:ascii="宋体" w:hAnsi="宋体" w:cs="宋体"/>
          <w:sz w:val="24"/>
        </w:rPr>
        <w:t>若中标人服务未达到招标人标准及要求，招标人有权单方面解除合同。</w:t>
      </w:r>
    </w:p>
    <w:p>
      <w:pPr>
        <w:spacing w:line="360" w:lineRule="auto"/>
        <w:jc w:val="left"/>
        <w:outlineLvl w:val="1"/>
        <w:rPr>
          <w:rFonts w:ascii="宋体" w:hAnsi="宋体"/>
          <w:b/>
          <w:color w:val="000000"/>
          <w:sz w:val="24"/>
        </w:rPr>
      </w:pPr>
      <w:r>
        <w:rPr>
          <w:rFonts w:hint="eastAsia" w:ascii="宋体" w:hAnsi="宋体"/>
          <w:b/>
          <w:color w:val="000000"/>
          <w:sz w:val="24"/>
        </w:rPr>
        <w:t>3.投标人资格要求</w:t>
      </w:r>
      <w:bookmarkEnd w:id="17"/>
      <w:r>
        <w:rPr>
          <w:rFonts w:hint="eastAsia" w:ascii="宋体" w:hAnsi="宋体"/>
          <w:b/>
          <w:color w:val="000000"/>
          <w:sz w:val="24"/>
        </w:rPr>
        <w:t>及报名条件</w:t>
      </w:r>
      <w:bookmarkEnd w:id="18"/>
      <w:bookmarkEnd w:id="19"/>
      <w:bookmarkEnd w:id="20"/>
      <w:bookmarkEnd w:id="21"/>
    </w:p>
    <w:p>
      <w:pPr>
        <w:spacing w:line="360" w:lineRule="auto"/>
        <w:ind w:firstLine="480" w:firstLineChars="200"/>
        <w:rPr>
          <w:rFonts w:ascii="宋体" w:hAnsi="宋体"/>
          <w:sz w:val="24"/>
        </w:rPr>
      </w:pPr>
      <w:bookmarkStart w:id="22" w:name="_Toc414463481"/>
      <w:bookmarkStart w:id="23" w:name="_Toc424762576"/>
      <w:bookmarkStart w:id="24" w:name="_Toc425235582"/>
      <w:bookmarkStart w:id="25" w:name="_Toc8414"/>
      <w:r>
        <w:rPr>
          <w:rFonts w:hint="eastAsia" w:ascii="宋体" w:hAnsi="宋体"/>
          <w:sz w:val="24"/>
        </w:rPr>
        <w:t>3.1投标人具有独立法人资格，具有有效的营业执照，没有处于被责令停业，投标资格被取消等状态；</w:t>
      </w:r>
    </w:p>
    <w:p>
      <w:pPr>
        <w:spacing w:line="360" w:lineRule="auto"/>
        <w:ind w:firstLine="480" w:firstLineChars="200"/>
        <w:rPr>
          <w:rFonts w:ascii="宋体" w:hAnsi="宋体"/>
          <w:sz w:val="24"/>
        </w:rPr>
      </w:pPr>
      <w:r>
        <w:rPr>
          <w:rFonts w:hint="eastAsia" w:ascii="宋体" w:hAnsi="宋体"/>
          <w:sz w:val="24"/>
        </w:rPr>
        <w:t>3.2资质条件：具备相关部门核发的有效的资质；</w:t>
      </w:r>
    </w:p>
    <w:p>
      <w:pPr>
        <w:spacing w:line="360" w:lineRule="auto"/>
        <w:ind w:firstLine="480" w:firstLineChars="200"/>
        <w:rPr>
          <w:rFonts w:ascii="宋体" w:hAnsi="宋体"/>
          <w:sz w:val="24"/>
        </w:rPr>
      </w:pPr>
      <w:r>
        <w:rPr>
          <w:rFonts w:hint="eastAsia" w:ascii="宋体" w:hAnsi="宋体"/>
          <w:sz w:val="24"/>
        </w:rPr>
        <w:t>3.3业绩要求：20</w:t>
      </w:r>
      <w:r>
        <w:rPr>
          <w:rFonts w:ascii="宋体" w:hAnsi="宋体"/>
          <w:sz w:val="24"/>
        </w:rPr>
        <w:t>20</w:t>
      </w:r>
      <w:r>
        <w:rPr>
          <w:rFonts w:hint="eastAsia" w:ascii="宋体" w:hAnsi="宋体"/>
          <w:sz w:val="24"/>
        </w:rPr>
        <w:t>年至今（按合同签订时间）应至少承担过1个以上的类似工程，并提供能够体现规模的业绩证明材料（如合同协议书）；</w:t>
      </w:r>
    </w:p>
    <w:p>
      <w:pPr>
        <w:spacing w:line="360" w:lineRule="auto"/>
        <w:ind w:firstLine="480" w:firstLineChars="200"/>
        <w:rPr>
          <w:rFonts w:ascii="宋体" w:hAnsi="宋体"/>
          <w:sz w:val="24"/>
        </w:rPr>
      </w:pPr>
      <w:r>
        <w:rPr>
          <w:rFonts w:hint="eastAsia" w:ascii="宋体" w:hAnsi="宋体"/>
          <w:sz w:val="24"/>
        </w:rPr>
        <w:t>3.4信誉要求：投标人未处于被责令停业，财产被接管、冻结或破产状态；近三年未出现经营异常、在经营活动中没有骗取中标和严重违法违纪记录及重大质量问题，未因不良记录被停止投标资格，投标人在投标截止时间前未被列入“信用中国”网站（www.creditchina.gov.cn）失信被执行人名单，提供上述网站信用信息查询记录的网页截图，并加盖投标人公章（若弄虚作假一经核实取消投标资格）；</w:t>
      </w:r>
    </w:p>
    <w:p>
      <w:pPr>
        <w:spacing w:line="360" w:lineRule="auto"/>
        <w:ind w:firstLine="480" w:firstLineChars="200"/>
        <w:rPr>
          <w:rFonts w:ascii="宋体" w:hAnsi="宋体"/>
          <w:sz w:val="24"/>
        </w:rPr>
      </w:pPr>
      <w:r>
        <w:rPr>
          <w:rFonts w:hint="eastAsia" w:ascii="宋体" w:hAnsi="宋体"/>
          <w:sz w:val="24"/>
        </w:rPr>
        <w:t>3.5本项目不接受联合体投标。</w:t>
      </w:r>
    </w:p>
    <w:p>
      <w:pPr>
        <w:spacing w:line="360" w:lineRule="auto"/>
        <w:jc w:val="left"/>
        <w:outlineLvl w:val="1"/>
        <w:rPr>
          <w:rFonts w:ascii="宋体" w:hAnsi="宋体"/>
          <w:b/>
          <w:color w:val="000000"/>
          <w:sz w:val="24"/>
        </w:rPr>
      </w:pPr>
      <w:r>
        <w:rPr>
          <w:rFonts w:hint="eastAsia" w:ascii="宋体" w:hAnsi="宋体"/>
          <w:b/>
          <w:color w:val="000000"/>
          <w:sz w:val="24"/>
        </w:rPr>
        <w:t>4.资格审查办法</w:t>
      </w:r>
      <w:bookmarkEnd w:id="22"/>
      <w:bookmarkEnd w:id="23"/>
      <w:bookmarkEnd w:id="24"/>
      <w:bookmarkEnd w:id="25"/>
    </w:p>
    <w:p>
      <w:pPr>
        <w:spacing w:line="360" w:lineRule="auto"/>
        <w:ind w:firstLine="480" w:firstLineChars="200"/>
        <w:jc w:val="left"/>
        <w:rPr>
          <w:rFonts w:ascii="宋体" w:hAnsi="宋体"/>
          <w:color w:val="000000"/>
          <w:sz w:val="24"/>
        </w:rPr>
      </w:pPr>
      <w:r>
        <w:rPr>
          <w:rFonts w:hint="eastAsia" w:ascii="宋体" w:hAnsi="宋体"/>
          <w:color w:val="000000"/>
          <w:sz w:val="24"/>
        </w:rPr>
        <w:t>本项目采用资格后审的方式。</w:t>
      </w:r>
    </w:p>
    <w:p>
      <w:pPr>
        <w:widowControl/>
        <w:adjustRightInd w:val="0"/>
        <w:snapToGrid w:val="0"/>
        <w:spacing w:line="360" w:lineRule="auto"/>
        <w:jc w:val="left"/>
        <w:outlineLvl w:val="1"/>
        <w:rPr>
          <w:rFonts w:ascii="宋体" w:hAnsi="宋体"/>
          <w:b/>
          <w:kern w:val="0"/>
          <w:sz w:val="24"/>
        </w:rPr>
      </w:pPr>
      <w:bookmarkStart w:id="26" w:name="_Toc12476099"/>
      <w:bookmarkStart w:id="27" w:name="_Toc30658"/>
      <w:bookmarkStart w:id="28" w:name="_Toc414463483"/>
      <w:bookmarkStart w:id="29" w:name="_Toc425235584"/>
      <w:bookmarkStart w:id="30" w:name="_Toc424762578"/>
      <w:r>
        <w:rPr>
          <w:rFonts w:ascii="宋体" w:hAnsi="宋体"/>
          <w:b/>
          <w:kern w:val="0"/>
          <w:sz w:val="24"/>
        </w:rPr>
        <w:t>5</w:t>
      </w:r>
      <w:r>
        <w:rPr>
          <w:rFonts w:hint="eastAsia" w:ascii="宋体" w:hAnsi="宋体"/>
          <w:b/>
          <w:kern w:val="0"/>
          <w:sz w:val="24"/>
        </w:rPr>
        <w:t>.投标文件的递交</w:t>
      </w:r>
      <w:bookmarkEnd w:id="26"/>
      <w:bookmarkEnd w:id="27"/>
      <w:bookmarkEnd w:id="28"/>
      <w:bookmarkEnd w:id="29"/>
      <w:bookmarkEnd w:id="30"/>
    </w:p>
    <w:p>
      <w:pPr>
        <w:widowControl/>
        <w:adjustRightInd w:val="0"/>
        <w:snapToGrid w:val="0"/>
        <w:spacing w:line="360" w:lineRule="auto"/>
        <w:ind w:firstLine="435"/>
        <w:rPr>
          <w:rFonts w:ascii="宋体" w:hAnsi="宋体"/>
          <w:kern w:val="0"/>
          <w:sz w:val="24"/>
        </w:rPr>
      </w:pPr>
      <w:r>
        <w:rPr>
          <w:rFonts w:ascii="宋体" w:hAnsi="宋体"/>
          <w:kern w:val="0"/>
          <w:sz w:val="24"/>
        </w:rPr>
        <w:t>5</w:t>
      </w:r>
      <w:r>
        <w:rPr>
          <w:rFonts w:hint="eastAsia" w:ascii="宋体" w:hAnsi="宋体"/>
          <w:kern w:val="0"/>
          <w:sz w:val="24"/>
        </w:rPr>
        <w:t>.</w:t>
      </w:r>
      <w:r>
        <w:rPr>
          <w:rFonts w:ascii="宋体" w:hAnsi="宋体"/>
          <w:kern w:val="0"/>
          <w:sz w:val="24"/>
        </w:rPr>
        <w:t>1</w:t>
      </w:r>
      <w:r>
        <w:rPr>
          <w:rFonts w:hint="eastAsia" w:ascii="宋体" w:hAnsi="宋体"/>
          <w:kern w:val="0"/>
          <w:sz w:val="24"/>
        </w:rPr>
        <w:t>投标文件递交的截止时间（投标截止时间，下同）为</w:t>
      </w:r>
      <w:r>
        <w:rPr>
          <w:rFonts w:hint="eastAsia" w:ascii="宋体" w:hAnsi="宋体"/>
          <w:kern w:val="0"/>
          <w:sz w:val="24"/>
          <w:highlight w:val="none"/>
          <w:u w:val="single"/>
        </w:rPr>
        <w:t>2023</w:t>
      </w:r>
      <w:r>
        <w:rPr>
          <w:rFonts w:hint="eastAsia" w:ascii="宋体" w:hAnsi="宋体"/>
          <w:kern w:val="0"/>
          <w:sz w:val="24"/>
          <w:highlight w:val="none"/>
        </w:rPr>
        <w:t>年</w:t>
      </w:r>
      <w:r>
        <w:rPr>
          <w:rFonts w:hint="eastAsia" w:ascii="宋体" w:hAnsi="宋体"/>
          <w:kern w:val="0"/>
          <w:sz w:val="24"/>
          <w:highlight w:val="none"/>
          <w:u w:val="single"/>
          <w:lang w:val="en-US" w:eastAsia="zh-CN"/>
        </w:rPr>
        <w:t>3</w:t>
      </w:r>
      <w:r>
        <w:rPr>
          <w:rFonts w:hint="eastAsia" w:ascii="宋体" w:hAnsi="宋体"/>
          <w:kern w:val="0"/>
          <w:sz w:val="24"/>
          <w:highlight w:val="none"/>
        </w:rPr>
        <w:t>月</w:t>
      </w:r>
      <w:r>
        <w:rPr>
          <w:rFonts w:hint="eastAsia" w:ascii="宋体" w:hAnsi="宋体"/>
          <w:kern w:val="0"/>
          <w:sz w:val="24"/>
          <w:highlight w:val="none"/>
          <w:u w:val="single"/>
          <w:lang w:val="en-US" w:eastAsia="zh-CN"/>
        </w:rPr>
        <w:t>10</w:t>
      </w:r>
      <w:r>
        <w:rPr>
          <w:rFonts w:hint="eastAsia" w:ascii="宋体" w:hAnsi="宋体"/>
          <w:kern w:val="0"/>
          <w:sz w:val="24"/>
          <w:highlight w:val="none"/>
        </w:rPr>
        <w:t>日</w:t>
      </w:r>
      <w:r>
        <w:rPr>
          <w:rFonts w:hint="eastAsia" w:ascii="宋体" w:hAnsi="宋体"/>
          <w:kern w:val="0"/>
          <w:sz w:val="24"/>
          <w:highlight w:val="none"/>
          <w:u w:val="single"/>
          <w:lang w:val="en-US" w:eastAsia="zh-CN"/>
        </w:rPr>
        <w:t>10</w:t>
      </w:r>
      <w:r>
        <w:rPr>
          <w:rFonts w:hint="eastAsia" w:ascii="宋体" w:hAnsi="宋体"/>
          <w:kern w:val="0"/>
          <w:sz w:val="24"/>
          <w:highlight w:val="none"/>
        </w:rPr>
        <w:t>时</w:t>
      </w:r>
      <w:r>
        <w:rPr>
          <w:rFonts w:hint="eastAsia" w:ascii="宋体" w:hAnsi="宋体"/>
          <w:kern w:val="0"/>
          <w:sz w:val="24"/>
          <w:highlight w:val="none"/>
          <w:u w:val="single"/>
          <w:lang w:val="en-US" w:eastAsia="zh-CN"/>
        </w:rPr>
        <w:t>0</w:t>
      </w:r>
      <w:r>
        <w:rPr>
          <w:rFonts w:ascii="宋体" w:hAnsi="宋体"/>
          <w:kern w:val="0"/>
          <w:sz w:val="24"/>
          <w:highlight w:val="none"/>
          <w:u w:val="single"/>
        </w:rPr>
        <w:t>0</w:t>
      </w:r>
      <w:r>
        <w:rPr>
          <w:rFonts w:hint="eastAsia" w:ascii="宋体" w:hAnsi="宋体"/>
          <w:kern w:val="0"/>
          <w:sz w:val="24"/>
          <w:highlight w:val="none"/>
        </w:rPr>
        <w:t>分</w:t>
      </w:r>
      <w:r>
        <w:rPr>
          <w:rFonts w:hint="eastAsia" w:ascii="宋体" w:hAnsi="宋体"/>
          <w:kern w:val="0"/>
          <w:sz w:val="24"/>
        </w:rPr>
        <w:t>。</w:t>
      </w:r>
    </w:p>
    <w:p>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hint="eastAsia" w:ascii="宋体" w:hAnsi="宋体"/>
          <w:kern w:val="0"/>
          <w:sz w:val="24"/>
        </w:rPr>
        <w:t>.2投标文件的递交地点：云南省安宁市云南省昆明市安宁市职教基地麒麟路云南理工职业学院科技楼1104室</w:t>
      </w:r>
    </w:p>
    <w:p>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hint="eastAsia" w:ascii="宋体" w:hAnsi="宋体"/>
          <w:kern w:val="0"/>
          <w:sz w:val="24"/>
        </w:rPr>
        <w:t>.3逾期送达的或者未送达指定地点的投标文件，招标人不予受理。</w:t>
      </w:r>
    </w:p>
    <w:p>
      <w:pPr>
        <w:widowControl/>
        <w:adjustRightInd w:val="0"/>
        <w:snapToGrid w:val="0"/>
        <w:spacing w:line="360" w:lineRule="auto"/>
        <w:ind w:firstLine="435"/>
        <w:jc w:val="left"/>
        <w:rPr>
          <w:rFonts w:ascii="宋体" w:hAnsi="宋体"/>
          <w:kern w:val="0"/>
          <w:sz w:val="24"/>
        </w:rPr>
      </w:pPr>
      <w:r>
        <w:rPr>
          <w:rFonts w:hint="eastAsia" w:ascii="宋体" w:hAnsi="宋体"/>
          <w:kern w:val="0"/>
          <w:sz w:val="24"/>
        </w:rPr>
        <w:t>5.4开标</w:t>
      </w:r>
      <w:r>
        <w:rPr>
          <w:rFonts w:ascii="宋体" w:hAnsi="宋体"/>
          <w:kern w:val="0"/>
          <w:sz w:val="24"/>
        </w:rPr>
        <w:t>时间及地点：</w:t>
      </w:r>
      <w:r>
        <w:rPr>
          <w:rFonts w:hint="eastAsia" w:ascii="宋体" w:hAnsi="宋体"/>
          <w:kern w:val="0"/>
          <w:sz w:val="24"/>
          <w:u w:val="single"/>
        </w:rPr>
        <w:t>2023</w:t>
      </w:r>
      <w:r>
        <w:rPr>
          <w:rFonts w:hint="eastAsia" w:ascii="宋体" w:hAnsi="宋体"/>
          <w:kern w:val="0"/>
          <w:sz w:val="24"/>
        </w:rPr>
        <w:t>年</w:t>
      </w:r>
      <w:r>
        <w:rPr>
          <w:rFonts w:hint="eastAsia" w:ascii="宋体" w:hAnsi="宋体"/>
          <w:kern w:val="0"/>
          <w:sz w:val="24"/>
          <w:highlight w:val="none"/>
          <w:u w:val="single"/>
          <w:lang w:val="en-US" w:eastAsia="zh-CN"/>
        </w:rPr>
        <w:t>3</w:t>
      </w:r>
      <w:r>
        <w:rPr>
          <w:rFonts w:hint="eastAsia" w:ascii="宋体" w:hAnsi="宋体"/>
          <w:kern w:val="0"/>
          <w:sz w:val="24"/>
          <w:highlight w:val="none"/>
        </w:rPr>
        <w:t>月</w:t>
      </w:r>
      <w:r>
        <w:rPr>
          <w:rFonts w:hint="eastAsia" w:ascii="宋体" w:hAnsi="宋体"/>
          <w:kern w:val="0"/>
          <w:sz w:val="24"/>
          <w:highlight w:val="none"/>
          <w:u w:val="single"/>
          <w:lang w:val="en-US" w:eastAsia="zh-CN"/>
        </w:rPr>
        <w:t>10</w:t>
      </w:r>
      <w:r>
        <w:rPr>
          <w:rFonts w:hint="eastAsia" w:ascii="宋体" w:hAnsi="宋体"/>
          <w:kern w:val="0"/>
          <w:sz w:val="24"/>
          <w:highlight w:val="none"/>
        </w:rPr>
        <w:t>日</w:t>
      </w:r>
      <w:r>
        <w:rPr>
          <w:rFonts w:hint="eastAsia" w:ascii="宋体" w:hAnsi="宋体"/>
          <w:kern w:val="0"/>
          <w:sz w:val="24"/>
          <w:highlight w:val="none"/>
          <w:u w:val="single"/>
          <w:lang w:val="en-US" w:eastAsia="zh-CN"/>
        </w:rPr>
        <w:t>10</w:t>
      </w:r>
      <w:r>
        <w:rPr>
          <w:rFonts w:hint="eastAsia" w:ascii="宋体" w:hAnsi="宋体"/>
          <w:kern w:val="0"/>
          <w:sz w:val="24"/>
          <w:highlight w:val="none"/>
        </w:rPr>
        <w:t>时</w:t>
      </w:r>
      <w:r>
        <w:rPr>
          <w:rFonts w:hint="eastAsia" w:ascii="宋体" w:hAnsi="宋体"/>
          <w:kern w:val="0"/>
          <w:sz w:val="24"/>
          <w:highlight w:val="none"/>
          <w:u w:val="single"/>
          <w:lang w:val="en-US" w:eastAsia="zh-CN"/>
        </w:rPr>
        <w:t>3</w:t>
      </w:r>
      <w:r>
        <w:rPr>
          <w:rFonts w:ascii="宋体" w:hAnsi="宋体"/>
          <w:kern w:val="0"/>
          <w:sz w:val="24"/>
          <w:highlight w:val="none"/>
          <w:u w:val="single"/>
        </w:rPr>
        <w:t>0</w:t>
      </w:r>
      <w:r>
        <w:rPr>
          <w:rFonts w:hint="eastAsia" w:ascii="宋体" w:hAnsi="宋体"/>
          <w:kern w:val="0"/>
          <w:sz w:val="24"/>
          <w:highlight w:val="none"/>
        </w:rPr>
        <w:t>分</w:t>
      </w:r>
      <w:r>
        <w:rPr>
          <w:rFonts w:ascii="宋体" w:hAnsi="宋体"/>
          <w:kern w:val="0"/>
          <w:sz w:val="24"/>
        </w:rPr>
        <w:t xml:space="preserve"> </w:t>
      </w:r>
    </w:p>
    <w:p>
      <w:pPr>
        <w:widowControl/>
        <w:adjustRightInd w:val="0"/>
        <w:snapToGrid w:val="0"/>
        <w:spacing w:line="360" w:lineRule="auto"/>
        <w:ind w:firstLine="435"/>
        <w:jc w:val="left"/>
        <w:rPr>
          <w:rFonts w:ascii="宋体" w:hAnsi="宋体"/>
          <w:b/>
          <w:kern w:val="0"/>
          <w:sz w:val="24"/>
        </w:rPr>
      </w:pPr>
      <w:r>
        <w:rPr>
          <w:rFonts w:hint="eastAsia" w:ascii="宋体" w:hAnsi="宋体"/>
          <w:b/>
          <w:kern w:val="0"/>
          <w:sz w:val="24"/>
        </w:rPr>
        <w:t>5.</w:t>
      </w:r>
      <w:r>
        <w:rPr>
          <w:rFonts w:ascii="宋体" w:hAnsi="宋体"/>
          <w:b/>
          <w:kern w:val="0"/>
          <w:sz w:val="24"/>
        </w:rPr>
        <w:t>5</w:t>
      </w:r>
      <w:r>
        <w:rPr>
          <w:rFonts w:hint="eastAsia" w:ascii="宋体" w:hAnsi="宋体"/>
          <w:b/>
          <w:kern w:val="0"/>
          <w:sz w:val="24"/>
        </w:rPr>
        <w:t>投标现场演示</w:t>
      </w:r>
    </w:p>
    <w:p>
      <w:pPr>
        <w:widowControl/>
        <w:adjustRightInd w:val="0"/>
        <w:snapToGrid w:val="0"/>
        <w:spacing w:line="360" w:lineRule="auto"/>
        <w:ind w:firstLine="435"/>
        <w:jc w:val="left"/>
        <w:rPr>
          <w:rFonts w:ascii="宋体" w:hAnsi="宋体"/>
          <w:b/>
          <w:kern w:val="0"/>
          <w:sz w:val="24"/>
        </w:rPr>
      </w:pPr>
      <w:r>
        <w:rPr>
          <w:rFonts w:hint="eastAsia" w:ascii="宋体" w:hAnsi="宋体"/>
          <w:b/>
          <w:kern w:val="0"/>
          <w:sz w:val="24"/>
        </w:rPr>
        <w:t>投标现场需进行网络舆情监测的操作演示及案例演示，时间控制在</w:t>
      </w:r>
      <w:r>
        <w:rPr>
          <w:rFonts w:ascii="宋体" w:hAnsi="宋体"/>
          <w:b/>
          <w:kern w:val="0"/>
          <w:sz w:val="24"/>
        </w:rPr>
        <w:t>15</w:t>
      </w:r>
      <w:r>
        <w:rPr>
          <w:rFonts w:hint="eastAsia" w:ascii="宋体" w:hAnsi="宋体"/>
          <w:b/>
          <w:kern w:val="0"/>
          <w:sz w:val="24"/>
        </w:rPr>
        <w:t>分钟以内。</w:t>
      </w:r>
    </w:p>
    <w:bookmarkEnd w:id="7"/>
    <w:p>
      <w:pPr>
        <w:widowControl/>
        <w:adjustRightInd w:val="0"/>
        <w:snapToGrid w:val="0"/>
        <w:spacing w:line="360" w:lineRule="auto"/>
        <w:jc w:val="left"/>
        <w:outlineLvl w:val="1"/>
        <w:rPr>
          <w:rFonts w:ascii="宋体" w:hAnsi="宋体"/>
          <w:b/>
          <w:kern w:val="0"/>
          <w:sz w:val="24"/>
        </w:rPr>
      </w:pPr>
      <w:bookmarkStart w:id="31" w:name="_Toc7730"/>
      <w:bookmarkStart w:id="32" w:name="_Toc12476100"/>
      <w:bookmarkStart w:id="33" w:name="_Toc425235586"/>
      <w:bookmarkStart w:id="34" w:name="_Toc424762580"/>
      <w:bookmarkStart w:id="35" w:name="_Toc414463485"/>
      <w:r>
        <w:rPr>
          <w:rFonts w:ascii="宋体" w:hAnsi="宋体"/>
          <w:b/>
          <w:kern w:val="0"/>
          <w:sz w:val="24"/>
        </w:rPr>
        <w:t>6</w:t>
      </w:r>
      <w:r>
        <w:rPr>
          <w:rFonts w:hint="eastAsia" w:ascii="宋体" w:hAnsi="宋体"/>
          <w:b/>
          <w:kern w:val="0"/>
          <w:sz w:val="24"/>
        </w:rPr>
        <w:t>.联系方式</w:t>
      </w:r>
      <w:bookmarkEnd w:id="31"/>
      <w:bookmarkEnd w:id="32"/>
      <w:bookmarkEnd w:id="33"/>
      <w:bookmarkEnd w:id="34"/>
      <w:bookmarkEnd w:id="35"/>
    </w:p>
    <w:p>
      <w:pPr>
        <w:spacing w:line="360" w:lineRule="auto"/>
        <w:ind w:firstLine="480" w:firstLineChars="200"/>
        <w:rPr>
          <w:rFonts w:ascii="宋体" w:hAnsi="宋体" w:cs="仿宋"/>
          <w:sz w:val="24"/>
        </w:rPr>
      </w:pPr>
      <w:r>
        <w:rPr>
          <w:rFonts w:hint="eastAsia" w:ascii="宋体" w:hAnsi="宋体" w:cs="仿宋"/>
          <w:sz w:val="24"/>
        </w:rPr>
        <w:t>招 标 人：云南理工职业学院有限公司</w:t>
      </w:r>
    </w:p>
    <w:p>
      <w:pPr>
        <w:widowControl/>
        <w:adjustRightInd w:val="0"/>
        <w:snapToGrid w:val="0"/>
        <w:spacing w:line="360" w:lineRule="auto"/>
        <w:ind w:firstLine="435"/>
        <w:jc w:val="left"/>
        <w:rPr>
          <w:rFonts w:ascii="宋体" w:hAnsi="宋体"/>
          <w:kern w:val="0"/>
          <w:sz w:val="24"/>
        </w:rPr>
      </w:pPr>
      <w:r>
        <w:rPr>
          <w:rFonts w:hint="eastAsia" w:ascii="宋体" w:hAnsi="宋体" w:cs="仿宋"/>
          <w:sz w:val="24"/>
        </w:rPr>
        <w:t>地址：</w:t>
      </w:r>
      <w:r>
        <w:rPr>
          <w:rFonts w:hint="eastAsia" w:ascii="宋体" w:hAnsi="宋体"/>
          <w:kern w:val="0"/>
          <w:sz w:val="24"/>
        </w:rPr>
        <w:t>云南省昆明市安宁市职教基地麒麟路云南理工职业学院科技中心B座1</w:t>
      </w:r>
      <w:r>
        <w:rPr>
          <w:rFonts w:ascii="宋体" w:hAnsi="宋体"/>
          <w:kern w:val="0"/>
          <w:sz w:val="24"/>
        </w:rPr>
        <w:t>104室</w:t>
      </w:r>
    </w:p>
    <w:p>
      <w:pPr>
        <w:spacing w:line="360" w:lineRule="auto"/>
        <w:ind w:firstLine="480" w:firstLineChars="200"/>
        <w:rPr>
          <w:rFonts w:ascii="宋体" w:hAnsi="宋体" w:cs="仿宋"/>
          <w:sz w:val="24"/>
        </w:rPr>
      </w:pPr>
      <w:r>
        <w:rPr>
          <w:rFonts w:hint="eastAsia" w:ascii="宋体" w:hAnsi="宋体" w:cs="仿宋"/>
          <w:sz w:val="24"/>
        </w:rPr>
        <w:t>联 系 人：张老师（招投标</w:t>
      </w:r>
      <w:r>
        <w:rPr>
          <w:rFonts w:ascii="宋体" w:hAnsi="宋体" w:cs="仿宋"/>
          <w:sz w:val="24"/>
        </w:rPr>
        <w:t>方面</w:t>
      </w:r>
      <w:r>
        <w:rPr>
          <w:rFonts w:hint="eastAsia" w:ascii="宋体" w:hAnsi="宋体" w:cs="仿宋"/>
          <w:sz w:val="24"/>
        </w:rPr>
        <w:t xml:space="preserve">）18887458889  </w:t>
      </w:r>
    </w:p>
    <w:p>
      <w:pPr>
        <w:spacing w:line="360" w:lineRule="auto"/>
        <w:ind w:firstLine="1680" w:firstLineChars="700"/>
        <w:rPr>
          <w:rFonts w:ascii="宋体" w:hAnsi="宋体" w:cs="仿宋"/>
          <w:sz w:val="24"/>
        </w:rPr>
      </w:pPr>
      <w:r>
        <w:rPr>
          <w:rFonts w:hint="eastAsia" w:ascii="宋体" w:hAnsi="宋体" w:cs="仿宋"/>
          <w:sz w:val="24"/>
        </w:rPr>
        <w:t>何老师 （技术</w:t>
      </w:r>
      <w:r>
        <w:rPr>
          <w:rFonts w:ascii="宋体" w:hAnsi="宋体" w:cs="仿宋"/>
          <w:sz w:val="24"/>
        </w:rPr>
        <w:t>方面</w:t>
      </w:r>
      <w:r>
        <w:rPr>
          <w:rFonts w:hint="eastAsia" w:ascii="宋体" w:hAnsi="宋体" w:cs="仿宋"/>
          <w:sz w:val="24"/>
        </w:rPr>
        <w:t xml:space="preserve">） </w:t>
      </w:r>
      <w:r>
        <w:rPr>
          <w:rFonts w:ascii="宋体" w:hAnsi="宋体" w:cs="仿宋"/>
          <w:sz w:val="24"/>
        </w:rPr>
        <w:t>18187104617</w:t>
      </w: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ind w:firstLine="480" w:firstLineChars="200"/>
        <w:rPr>
          <w:rFonts w:ascii="宋体" w:hAnsi="宋体" w:cs="仿宋"/>
          <w:sz w:val="24"/>
        </w:rPr>
      </w:pPr>
    </w:p>
    <w:p>
      <w:pPr>
        <w:spacing w:line="360" w:lineRule="auto"/>
        <w:rPr>
          <w:rFonts w:ascii="宋体" w:hAnsi="宋体" w:cs="仿宋"/>
          <w:sz w:val="24"/>
        </w:rPr>
      </w:pPr>
    </w:p>
    <w:p>
      <w:pPr>
        <w:spacing w:line="360" w:lineRule="auto"/>
        <w:jc w:val="center"/>
        <w:outlineLvl w:val="0"/>
        <w:rPr>
          <w:rFonts w:ascii="宋体" w:hAnsi="宋体"/>
          <w:b/>
          <w:bCs/>
          <w:color w:val="000000"/>
          <w:sz w:val="32"/>
          <w:szCs w:val="32"/>
        </w:rPr>
      </w:pPr>
      <w:bookmarkStart w:id="36" w:name="_Toc12476101"/>
      <w:bookmarkStart w:id="37" w:name="_Toc414463486"/>
      <w:bookmarkStart w:id="38" w:name="_Toc19240"/>
      <w:r>
        <w:rPr>
          <w:rFonts w:hint="eastAsia" w:ascii="宋体" w:hAnsi="宋体"/>
          <w:b/>
          <w:bCs/>
          <w:color w:val="000000"/>
          <w:sz w:val="32"/>
          <w:szCs w:val="32"/>
        </w:rPr>
        <w:t>第二章  投标人须知</w:t>
      </w:r>
      <w:bookmarkEnd w:id="36"/>
      <w:bookmarkEnd w:id="37"/>
      <w:bookmarkEnd w:id="38"/>
    </w:p>
    <w:p>
      <w:pPr>
        <w:spacing w:line="360" w:lineRule="auto"/>
        <w:jc w:val="center"/>
        <w:outlineLvl w:val="1"/>
        <w:rPr>
          <w:rFonts w:ascii="宋体" w:hAnsi="宋体"/>
          <w:b/>
          <w:sz w:val="28"/>
          <w:szCs w:val="28"/>
        </w:rPr>
      </w:pPr>
      <w:bookmarkStart w:id="39" w:name="_Toc12476102"/>
      <w:bookmarkStart w:id="40" w:name="_Toc382939437"/>
      <w:bookmarkStart w:id="41" w:name="_Toc389839393"/>
      <w:r>
        <w:rPr>
          <w:rFonts w:hint="eastAsia" w:ascii="宋体" w:hAnsi="宋体"/>
          <w:b/>
          <w:sz w:val="28"/>
          <w:szCs w:val="28"/>
        </w:rPr>
        <w:t>投标人须知前附表</w:t>
      </w:r>
      <w:bookmarkEnd w:id="39"/>
      <w:bookmarkEnd w:id="40"/>
      <w:bookmarkEnd w:id="41"/>
    </w:p>
    <w:tbl>
      <w:tblPr>
        <w:tblStyle w:val="28"/>
        <w:tblW w:w="9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046"/>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条款号</w:t>
            </w:r>
          </w:p>
        </w:tc>
        <w:tc>
          <w:tcPr>
            <w:tcW w:w="2046"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条款名称</w:t>
            </w:r>
          </w:p>
        </w:tc>
        <w:tc>
          <w:tcPr>
            <w:tcW w:w="6700"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b/>
                <w:kern w:val="2"/>
                <w:sz w:val="21"/>
                <w:szCs w:val="21"/>
              </w:rPr>
            </w:pPr>
            <w:r>
              <w:rPr>
                <w:rFonts w:hint="eastAsia" w:cs="宋体"/>
                <w:b/>
                <w:kern w:val="2"/>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招标人</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云南理工职业学院有限公司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项目名称</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云南理工职业学院网络舆情监测服务采购项目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招标内容</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云南理工职业学院网络舆情监测服务采购，主要包含信息列表、图表分析、精选筛选设置、定向信源设置、预警设置、修改方案等，详见“第五章技术要求”。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完成部署时间</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left"/>
              <w:rPr>
                <w:rFonts w:ascii="宋体" w:hAnsi="宋体"/>
                <w:szCs w:val="21"/>
              </w:rPr>
            </w:pPr>
            <w:r>
              <w:rPr>
                <w:rFonts w:hint="eastAsia" w:ascii="宋体" w:hAnsi="宋体"/>
                <w:szCs w:val="21"/>
              </w:rPr>
              <w:t>7个日历天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项目地点</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left"/>
              <w:rPr>
                <w:rFonts w:ascii="宋体" w:hAnsi="宋体"/>
                <w:szCs w:val="21"/>
              </w:rPr>
            </w:pPr>
            <w:r>
              <w:rPr>
                <w:rFonts w:hint="eastAsia" w:ascii="宋体" w:hAnsi="宋体"/>
                <w:kern w:val="0"/>
                <w:szCs w:val="21"/>
              </w:rPr>
              <w:t>云南省昆明市安宁市职教基地麒麟路云南理工职业学院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6</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质量标准</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left"/>
              <w:rPr>
                <w:rFonts w:ascii="宋体" w:hAnsi="宋体"/>
                <w:szCs w:val="21"/>
              </w:rPr>
            </w:pPr>
            <w:r>
              <w:rPr>
                <w:rFonts w:hint="eastAsia" w:ascii="宋体" w:hAnsi="宋体"/>
                <w:szCs w:val="21"/>
              </w:rPr>
              <w:t>完全符合国家标准、行业标准以及甲方要求和乙方承诺的质量、规格标准；符合用户需求。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投标人资格要求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1、投标人具有独立法人资格，具有有效的营业执照，没有处于被责令停业，投标资格被取消等状态；</w:t>
            </w:r>
          </w:p>
          <w:p>
            <w:pPr>
              <w:spacing w:line="360" w:lineRule="auto"/>
              <w:rPr>
                <w:rFonts w:ascii="宋体" w:hAnsi="宋体"/>
                <w:szCs w:val="21"/>
              </w:rPr>
            </w:pPr>
            <w:r>
              <w:rPr>
                <w:rFonts w:ascii="宋体" w:hAnsi="宋体"/>
                <w:szCs w:val="21"/>
              </w:rPr>
              <w:t>2</w:t>
            </w:r>
            <w:r>
              <w:rPr>
                <w:rFonts w:hint="eastAsia" w:ascii="宋体" w:hAnsi="宋体"/>
                <w:szCs w:val="21"/>
              </w:rPr>
              <w:t>、资质条件：具备相关部门核发的有效的资质；</w:t>
            </w:r>
          </w:p>
          <w:p>
            <w:pPr>
              <w:spacing w:line="360" w:lineRule="auto"/>
              <w:rPr>
                <w:rFonts w:ascii="宋体" w:hAnsi="宋体"/>
                <w:szCs w:val="21"/>
              </w:rPr>
            </w:pPr>
            <w:r>
              <w:rPr>
                <w:rFonts w:ascii="宋体" w:hAnsi="宋体"/>
                <w:szCs w:val="21"/>
              </w:rPr>
              <w:t>3</w:t>
            </w:r>
            <w:r>
              <w:rPr>
                <w:rFonts w:hint="eastAsia" w:ascii="宋体" w:hAnsi="宋体"/>
                <w:szCs w:val="21"/>
              </w:rPr>
              <w:t>、业绩要求：2020年至今（按合同签订时间）应至少承担过1个以上的类似工程，并提供能够体现规模的业绩证明材料（如合同协议书）；</w:t>
            </w:r>
          </w:p>
          <w:p>
            <w:pPr>
              <w:spacing w:line="360" w:lineRule="auto"/>
              <w:rPr>
                <w:rFonts w:ascii="宋体" w:hAnsi="宋体"/>
                <w:szCs w:val="21"/>
              </w:rPr>
            </w:pPr>
            <w:r>
              <w:rPr>
                <w:rFonts w:ascii="宋体" w:hAnsi="宋体"/>
                <w:szCs w:val="21"/>
              </w:rPr>
              <w:t>4</w:t>
            </w:r>
            <w:r>
              <w:rPr>
                <w:rFonts w:hint="eastAsia" w:ascii="宋体" w:hAnsi="宋体"/>
                <w:szCs w:val="21"/>
              </w:rPr>
              <w:t>、信誉要求：投标人未处于被责令停业，财产被接管、冻结或破产状态；近三年未出现经营异常、在经营活动中没有骗取中标和严重违法违纪记录及重大质量问题，未因不良记录被停止投标资格，投标人在投标截止时间前未被列入“信用中国”网站（www.creditchina.gov.cn）失信被执行人名单，提供上述网站信用信息查询记录的网页截图，并加盖投标人公章（若弄虚作假一经核实取消投标资格）；</w:t>
            </w:r>
          </w:p>
          <w:p>
            <w:pPr>
              <w:spacing w:line="360" w:lineRule="auto"/>
              <w:rPr>
                <w:rFonts w:ascii="宋体" w:hAnsi="宋体"/>
                <w:szCs w:val="21"/>
              </w:rPr>
            </w:pPr>
            <w:r>
              <w:rPr>
                <w:rFonts w:ascii="宋体" w:hAnsi="宋体"/>
                <w:szCs w:val="21"/>
              </w:rPr>
              <w:t>5</w:t>
            </w:r>
            <w:r>
              <w:rPr>
                <w:rFonts w:hint="eastAsia" w:ascii="宋体" w:hAnsi="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资格审查方式</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签字或盖章要求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在招标文件要求盖章和（或）签字的地方应由投标人的法定代表人或其委托代理人按规定格式签字并加盖单位公章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投标文件份数</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 xml:space="preserve">文本标书：正本1份，副本2份 </w:t>
            </w:r>
          </w:p>
          <w:p>
            <w:pPr>
              <w:adjustRightInd w:val="0"/>
              <w:snapToGrid w:val="0"/>
              <w:spacing w:line="320" w:lineRule="exact"/>
              <w:rPr>
                <w:rFonts w:ascii="宋体" w:hAnsi="宋体"/>
                <w:b/>
                <w:szCs w:val="21"/>
              </w:rPr>
            </w:pPr>
            <w:r>
              <w:rPr>
                <w:rFonts w:hint="eastAsia" w:ascii="宋体" w:hAnsi="宋体"/>
                <w:b/>
                <w:szCs w:val="21"/>
              </w:rPr>
              <w:t>电子标书：投标文件word版一份，PDF扫描件一份，保存在一张光盘或U盘中。</w:t>
            </w:r>
          </w:p>
          <w:p>
            <w:pPr>
              <w:adjustRightInd w:val="0"/>
              <w:snapToGrid w:val="0"/>
              <w:spacing w:line="320" w:lineRule="exact"/>
              <w:rPr>
                <w:rFonts w:ascii="宋体" w:hAnsi="宋体"/>
                <w:b/>
                <w:szCs w:val="21"/>
              </w:rPr>
            </w:pPr>
            <w:r>
              <w:rPr>
                <w:rFonts w:hint="eastAsia" w:ascii="宋体" w:hAnsi="宋体"/>
                <w:b/>
                <w:szCs w:val="21"/>
              </w:rPr>
              <w:t>（1）PDF版的投标文件必须是签字盖章后投标文件的所有内容（包含封面）彩色扫描，如扫描件与纸质文件正本不一致，作否决投标处理。</w:t>
            </w:r>
          </w:p>
          <w:p>
            <w:pPr>
              <w:adjustRightInd w:val="0"/>
              <w:snapToGrid w:val="0"/>
              <w:spacing w:line="320" w:lineRule="exact"/>
              <w:rPr>
                <w:rFonts w:ascii="宋体" w:hAnsi="宋体"/>
                <w:b/>
                <w:szCs w:val="21"/>
              </w:rPr>
            </w:pPr>
            <w:r>
              <w:rPr>
                <w:rFonts w:hint="eastAsia" w:ascii="宋体" w:hAnsi="宋体"/>
                <w:b/>
                <w:bCs/>
                <w:szCs w:val="21"/>
              </w:rPr>
              <w:t>（2）</w:t>
            </w:r>
            <w:r>
              <w:rPr>
                <w:rFonts w:hint="eastAsia" w:ascii="宋体" w:hAnsi="宋体"/>
                <w:b/>
                <w:szCs w:val="21"/>
              </w:rPr>
              <w:t xml:space="preserve">投标文件电子版和投标文件纸质文件统一密封。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11</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装订要求</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hint="eastAsia" w:cs="宋体"/>
                <w:kern w:val="2"/>
                <w:sz w:val="21"/>
                <w:szCs w:val="21"/>
              </w:rPr>
              <w:t>1</w:t>
            </w:r>
            <w:r>
              <w:rPr>
                <w:rFonts w:cs="宋体"/>
                <w:kern w:val="2"/>
                <w:sz w:val="21"/>
                <w:szCs w:val="21"/>
              </w:rPr>
              <w:t>2</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rPr>
              <w:t>费用承担</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rPr>
              <w:t>投标人准备和参加投标活动发生的费用自理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13</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pPr>
            <w:r>
              <w:rPr>
                <w:rFonts w:hint="eastAsia"/>
              </w:rPr>
              <w:t>递交投标文件时间</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pPr>
            <w:r>
              <w:rPr>
                <w:rFonts w:hint="eastAsia"/>
              </w:rPr>
              <w:t>2023年</w:t>
            </w:r>
            <w:r>
              <w:rPr>
                <w:rFonts w:hint="eastAsia"/>
                <w:highlight w:val="none"/>
                <w:lang w:val="en-US" w:eastAsia="zh-CN"/>
              </w:rPr>
              <w:t>3</w:t>
            </w:r>
            <w:r>
              <w:rPr>
                <w:rFonts w:hint="eastAsia"/>
                <w:highlight w:val="none"/>
              </w:rPr>
              <w:t>月</w:t>
            </w:r>
            <w:r>
              <w:rPr>
                <w:rFonts w:hint="eastAsia"/>
                <w:highlight w:val="none"/>
                <w:lang w:val="en-US" w:eastAsia="zh-CN"/>
              </w:rPr>
              <w:t>10</w:t>
            </w:r>
            <w:r>
              <w:rPr>
                <w:rFonts w:hint="eastAsia"/>
                <w:highlight w:val="none"/>
              </w:rPr>
              <w:t>日</w:t>
            </w:r>
            <w:r>
              <w:rPr>
                <w:rFonts w:hint="eastAsia"/>
                <w:highlight w:val="none"/>
                <w:lang w:val="en-US" w:eastAsia="zh-CN"/>
              </w:rPr>
              <w:t>10</w:t>
            </w:r>
            <w:r>
              <w:rPr>
                <w:rFonts w:hint="eastAsia"/>
                <w:highlight w:val="none"/>
              </w:rPr>
              <w:t>时</w:t>
            </w:r>
            <w:r>
              <w:rPr>
                <w:rFonts w:hint="eastAsia"/>
                <w:highlight w:val="none"/>
                <w:lang w:val="en-US" w:eastAsia="zh-CN"/>
              </w:rPr>
              <w:t>0</w:t>
            </w:r>
            <w:r>
              <w:rPr>
                <w:rFonts w:hint="eastAsia"/>
                <w:highlight w:val="none"/>
              </w:rPr>
              <w:t>0分。</w:t>
            </w:r>
            <w:r>
              <w:rPr>
                <w:rFonts w:hint="eastAsi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14</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递交投标文件地点</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云南省昆明市安宁市职教基地麒麟路云南理工职业学院科技楼1104</w:t>
            </w:r>
            <w:r>
              <w:rPr>
                <w:rFonts w:ascii="宋体" w:hAnsi="宋体"/>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15</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是否退还投标文件</w:t>
            </w:r>
          </w:p>
        </w:tc>
        <w:tc>
          <w:tcPr>
            <w:tcW w:w="6700"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20" w:lineRule="exact"/>
              <w:rPr>
                <w:rFonts w:ascii="宋体" w:hAnsi="宋体"/>
                <w:szCs w:val="21"/>
              </w:rPr>
            </w:pPr>
            <w:r>
              <w:rPr>
                <w:rFonts w:hint="eastAsia" w:ascii="宋体" w:hAnsi="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16</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开标时间和地点</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pPr>
            <w:r>
              <w:rPr>
                <w:rFonts w:hint="eastAsia"/>
              </w:rPr>
              <w:t>开标时间：2023</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10</w:t>
            </w:r>
            <w:r>
              <w:rPr>
                <w:rFonts w:hint="eastAsia"/>
                <w:highlight w:val="none"/>
              </w:rPr>
              <w:t>日</w:t>
            </w:r>
            <w:r>
              <w:rPr>
                <w:rFonts w:hint="eastAsia"/>
                <w:highlight w:val="none"/>
                <w:lang w:val="en-US" w:eastAsia="zh-CN"/>
              </w:rPr>
              <w:t>10</w:t>
            </w:r>
            <w:r>
              <w:rPr>
                <w:rFonts w:hint="eastAsia"/>
                <w:highlight w:val="none"/>
              </w:rPr>
              <w:t>时</w:t>
            </w:r>
            <w:r>
              <w:rPr>
                <w:rFonts w:hint="eastAsia"/>
                <w:highlight w:val="none"/>
                <w:lang w:val="en-US" w:eastAsia="zh-CN"/>
              </w:rPr>
              <w:t>3</w:t>
            </w:r>
            <w:r>
              <w:rPr>
                <w:highlight w:val="none"/>
              </w:rPr>
              <w:t>0</w:t>
            </w:r>
            <w:r>
              <w:rPr>
                <w:rFonts w:hint="eastAsia"/>
                <w:highlight w:val="none"/>
              </w:rPr>
              <w:t>分</w:t>
            </w:r>
            <w:r>
              <w:rPr>
                <w:rFonts w:hint="eastAsia"/>
              </w:rPr>
              <w:t>（北京时间）</w:t>
            </w:r>
            <w:bookmarkStart w:id="148" w:name="_GoBack"/>
            <w:bookmarkEnd w:id="148"/>
          </w:p>
          <w:p>
            <w:pPr>
              <w:spacing w:line="360" w:lineRule="auto"/>
              <w:rPr>
                <w:rFonts w:ascii="宋体" w:hAnsi="宋体"/>
                <w:b/>
                <w:szCs w:val="21"/>
              </w:rPr>
            </w:pPr>
            <w:r>
              <w:rPr>
                <w:rFonts w:hint="eastAsia"/>
              </w:rPr>
              <w:t>开标地点：云南省昆明市安宁市职教基地麒麟路云南理工职业学院科技楼1104室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0"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17</w:t>
            </w:r>
          </w:p>
        </w:tc>
        <w:tc>
          <w:tcPr>
            <w:tcW w:w="2046"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340" w:lineRule="exact"/>
              <w:jc w:val="center"/>
              <w:rPr>
                <w:rFonts w:ascii="宋体" w:hAnsi="宋体"/>
                <w:szCs w:val="21"/>
              </w:rPr>
            </w:pPr>
            <w:r>
              <w:rPr>
                <w:rFonts w:hint="eastAsia" w:ascii="宋体" w:hAnsi="宋体"/>
                <w:szCs w:val="21"/>
              </w:rPr>
              <w:t>合同条款</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b/>
                <w:szCs w:val="21"/>
              </w:rPr>
            </w:pPr>
            <w:r>
              <w:rPr>
                <w:rFonts w:hint="eastAsia" w:ascii="宋体" w:hAnsi="宋体"/>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5" w:hRule="atLeast"/>
          <w:jc w:val="center"/>
        </w:trPr>
        <w:tc>
          <w:tcPr>
            <w:tcW w:w="945"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kern w:val="2"/>
                <w:sz w:val="21"/>
                <w:szCs w:val="21"/>
              </w:rPr>
            </w:pPr>
            <w:r>
              <w:rPr>
                <w:rFonts w:hint="eastAsia" w:cs="宋体"/>
                <w:kern w:val="2"/>
                <w:sz w:val="21"/>
                <w:szCs w:val="21"/>
              </w:rPr>
              <w:t>18</w:t>
            </w:r>
          </w:p>
        </w:tc>
        <w:tc>
          <w:tcPr>
            <w:tcW w:w="2046" w:type="dxa"/>
            <w:tcBorders>
              <w:top w:val="outset" w:color="auto" w:sz="6" w:space="0"/>
              <w:left w:val="outset" w:color="auto" w:sz="6" w:space="0"/>
              <w:bottom w:val="outset" w:color="auto" w:sz="6" w:space="0"/>
              <w:right w:val="outset" w:color="auto" w:sz="6" w:space="0"/>
            </w:tcBorders>
            <w:vAlign w:val="center"/>
          </w:tcPr>
          <w:p>
            <w:pPr>
              <w:pStyle w:val="25"/>
              <w:adjustRightInd w:val="0"/>
              <w:snapToGrid w:val="0"/>
              <w:spacing w:before="0" w:beforeAutospacing="0" w:after="0" w:afterAutospacing="0" w:line="340" w:lineRule="exact"/>
              <w:jc w:val="center"/>
              <w:rPr>
                <w:rFonts w:cs="宋体"/>
                <w:kern w:val="2"/>
                <w:sz w:val="21"/>
                <w:szCs w:val="21"/>
              </w:rPr>
            </w:pPr>
            <w:r>
              <w:rPr>
                <w:rFonts w:hint="eastAsia" w:cs="宋体"/>
                <w:kern w:val="2"/>
                <w:sz w:val="21"/>
                <w:szCs w:val="21"/>
              </w:rPr>
              <w:t>解释权</w:t>
            </w:r>
          </w:p>
        </w:tc>
        <w:tc>
          <w:tcPr>
            <w:tcW w:w="6700" w:type="dxa"/>
            <w:tcBorders>
              <w:top w:val="outset" w:color="auto" w:sz="6" w:space="0"/>
              <w:left w:val="outset" w:color="auto" w:sz="6" w:space="0"/>
              <w:bottom w:val="outset" w:color="auto" w:sz="6" w:space="0"/>
              <w:right w:val="outset" w:color="auto" w:sz="6" w:space="0"/>
            </w:tcBorders>
            <w:vAlign w:val="center"/>
          </w:tcPr>
          <w:p>
            <w:pPr>
              <w:spacing w:line="360" w:lineRule="auto"/>
              <w:rPr>
                <w:rFonts w:cs="宋体"/>
                <w:szCs w:val="21"/>
              </w:rPr>
            </w:pPr>
            <w:r>
              <w:rPr>
                <w:rFonts w:hint="eastAsia" w:ascii="宋体" w:hAnsi="宋体"/>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pPr>
        <w:spacing w:line="360" w:lineRule="auto"/>
        <w:jc w:val="center"/>
        <w:outlineLvl w:val="1"/>
      </w:pPr>
      <w:bookmarkStart w:id="42" w:name="_Toc186513137"/>
      <w:bookmarkStart w:id="43" w:name="_Toc382939438"/>
      <w:bookmarkStart w:id="44" w:name="_Toc414463487"/>
      <w:bookmarkStart w:id="45" w:name="_Toc389839394"/>
      <w:r>
        <w:rPr>
          <w:rFonts w:ascii="宋体" w:hAnsi="宋体"/>
          <w:b/>
          <w:sz w:val="28"/>
          <w:szCs w:val="28"/>
        </w:rPr>
        <w:br w:type="page"/>
      </w:r>
      <w:bookmarkEnd w:id="42"/>
      <w:bookmarkEnd w:id="43"/>
      <w:bookmarkEnd w:id="44"/>
      <w:bookmarkEnd w:id="45"/>
    </w:p>
    <w:p>
      <w:pPr>
        <w:pStyle w:val="43"/>
        <w:jc w:val="center"/>
        <w:rPr>
          <w:sz w:val="28"/>
          <w:szCs w:val="28"/>
        </w:rPr>
      </w:pPr>
      <w:bookmarkStart w:id="46" w:name="_Toc13401"/>
      <w:bookmarkStart w:id="47" w:name="_Toc12476103"/>
      <w:r>
        <w:rPr>
          <w:sz w:val="28"/>
          <w:szCs w:val="28"/>
        </w:rPr>
        <w:t>1</w:t>
      </w:r>
      <w:r>
        <w:rPr>
          <w:rFonts w:hint="eastAsia"/>
          <w:sz w:val="28"/>
          <w:szCs w:val="28"/>
        </w:rPr>
        <w:t>.投标文件</w:t>
      </w:r>
      <w:bookmarkEnd w:id="0"/>
      <w:bookmarkEnd w:id="1"/>
      <w:bookmarkEnd w:id="2"/>
      <w:bookmarkEnd w:id="46"/>
      <w:bookmarkEnd w:id="47"/>
    </w:p>
    <w:p>
      <w:pPr>
        <w:pStyle w:val="25"/>
        <w:adjustRightInd w:val="0"/>
        <w:snapToGrid w:val="0"/>
        <w:spacing w:before="0" w:beforeAutospacing="0" w:after="0" w:afterAutospacing="0" w:line="360" w:lineRule="auto"/>
        <w:outlineLvl w:val="2"/>
        <w:rPr>
          <w:b/>
        </w:rPr>
      </w:pPr>
      <w:bookmarkStart w:id="48" w:name="_Toc424762598"/>
      <w:bookmarkStart w:id="49" w:name="_Toc186513156"/>
      <w:bookmarkStart w:id="50" w:name="_Toc6833"/>
      <w:bookmarkStart w:id="51" w:name="_Toc425235604"/>
      <w:r>
        <w:rPr>
          <w:b/>
        </w:rPr>
        <w:t>1</w:t>
      </w:r>
      <w:r>
        <w:rPr>
          <w:rFonts w:hint="eastAsia"/>
          <w:b/>
        </w:rPr>
        <w:t>.1 投标文件的组成</w:t>
      </w:r>
      <w:bookmarkEnd w:id="48"/>
      <w:bookmarkEnd w:id="49"/>
      <w:bookmarkEnd w:id="50"/>
      <w:bookmarkEnd w:id="51"/>
    </w:p>
    <w:p>
      <w:pPr>
        <w:spacing w:line="360" w:lineRule="auto"/>
        <w:ind w:firstLine="523" w:firstLineChars="218"/>
        <w:rPr>
          <w:rFonts w:ascii="宋体" w:hAnsi="宋体"/>
          <w:sz w:val="24"/>
        </w:rPr>
      </w:pPr>
      <w:r>
        <w:rPr>
          <w:rFonts w:ascii="宋体" w:hAnsi="宋体"/>
          <w:sz w:val="24"/>
        </w:rPr>
        <w:t>1</w:t>
      </w:r>
      <w:r>
        <w:rPr>
          <w:rFonts w:hint="eastAsia" w:ascii="宋体" w:hAnsi="宋体"/>
          <w:sz w:val="24"/>
        </w:rPr>
        <w:t>.1.1投标文件由下列内容组成：</w:t>
      </w:r>
    </w:p>
    <w:p>
      <w:pPr>
        <w:numPr>
          <w:ilvl w:val="0"/>
          <w:numId w:val="2"/>
        </w:numPr>
        <w:spacing w:line="360" w:lineRule="auto"/>
        <w:ind w:left="559" w:leftChars="266"/>
        <w:rPr>
          <w:rFonts w:ascii="宋体" w:hAnsi="宋体"/>
          <w:sz w:val="24"/>
        </w:rPr>
      </w:pPr>
      <w:r>
        <w:rPr>
          <w:rFonts w:hint="eastAsia" w:ascii="宋体" w:hAnsi="宋体"/>
          <w:sz w:val="24"/>
        </w:rPr>
        <w:t>投标函</w:t>
      </w:r>
    </w:p>
    <w:p>
      <w:pPr>
        <w:numPr>
          <w:ilvl w:val="0"/>
          <w:numId w:val="2"/>
        </w:numPr>
        <w:spacing w:line="360" w:lineRule="auto"/>
        <w:ind w:left="559" w:leftChars="266"/>
        <w:rPr>
          <w:rFonts w:ascii="宋体" w:hAnsi="宋体"/>
          <w:sz w:val="24"/>
        </w:rPr>
      </w:pPr>
      <w:r>
        <w:rPr>
          <w:rFonts w:hint="eastAsia" w:ascii="宋体" w:hAnsi="宋体"/>
          <w:sz w:val="24"/>
        </w:rPr>
        <w:t>法定代表人身份证明书</w:t>
      </w:r>
    </w:p>
    <w:p>
      <w:pPr>
        <w:numPr>
          <w:ilvl w:val="0"/>
          <w:numId w:val="2"/>
        </w:numPr>
        <w:spacing w:line="360" w:lineRule="auto"/>
        <w:ind w:left="559" w:leftChars="266"/>
        <w:rPr>
          <w:rFonts w:ascii="宋体" w:hAnsi="宋体"/>
          <w:sz w:val="24"/>
        </w:rPr>
      </w:pPr>
      <w:r>
        <w:rPr>
          <w:rFonts w:hint="eastAsia" w:ascii="宋体" w:hAnsi="宋体"/>
          <w:sz w:val="24"/>
        </w:rPr>
        <w:t>法定代表人授权委托书</w:t>
      </w:r>
    </w:p>
    <w:p>
      <w:pPr>
        <w:numPr>
          <w:ilvl w:val="0"/>
          <w:numId w:val="2"/>
        </w:numPr>
        <w:spacing w:line="360" w:lineRule="auto"/>
        <w:ind w:left="559" w:leftChars="266"/>
        <w:rPr>
          <w:rFonts w:ascii="宋体" w:hAnsi="宋体"/>
          <w:sz w:val="24"/>
        </w:rPr>
      </w:pPr>
      <w:r>
        <w:rPr>
          <w:rFonts w:hint="eastAsia" w:ascii="宋体" w:hAnsi="宋体"/>
          <w:sz w:val="24"/>
        </w:rPr>
        <w:t>质量、工期及服务承诺</w:t>
      </w:r>
    </w:p>
    <w:p>
      <w:pPr>
        <w:numPr>
          <w:ilvl w:val="0"/>
          <w:numId w:val="2"/>
        </w:numPr>
        <w:spacing w:line="360" w:lineRule="auto"/>
        <w:ind w:left="559" w:leftChars="266"/>
        <w:rPr>
          <w:rFonts w:ascii="宋体" w:hAnsi="宋体"/>
          <w:sz w:val="24"/>
        </w:rPr>
      </w:pPr>
      <w:r>
        <w:rPr>
          <w:rFonts w:hint="eastAsia" w:ascii="宋体" w:hAnsi="宋体"/>
          <w:sz w:val="24"/>
        </w:rPr>
        <w:t>资格证明材料</w:t>
      </w:r>
    </w:p>
    <w:p>
      <w:pPr>
        <w:numPr>
          <w:ilvl w:val="0"/>
          <w:numId w:val="2"/>
        </w:numPr>
        <w:spacing w:line="360" w:lineRule="auto"/>
        <w:ind w:left="559" w:leftChars="266"/>
        <w:rPr>
          <w:rFonts w:ascii="宋体" w:hAnsi="宋体"/>
          <w:sz w:val="24"/>
        </w:rPr>
      </w:pPr>
      <w:r>
        <w:rPr>
          <w:rFonts w:hint="eastAsia" w:ascii="宋体" w:hAnsi="宋体"/>
          <w:sz w:val="24"/>
        </w:rPr>
        <w:t>其他</w:t>
      </w:r>
    </w:p>
    <w:p>
      <w:pPr>
        <w:spacing w:line="360" w:lineRule="auto"/>
        <w:ind w:firstLine="523" w:firstLineChars="218"/>
        <w:rPr>
          <w:rFonts w:ascii="宋体" w:hAnsi="宋体"/>
          <w:sz w:val="24"/>
        </w:rPr>
      </w:pPr>
      <w:r>
        <w:rPr>
          <w:rFonts w:ascii="宋体" w:hAnsi="宋体"/>
          <w:sz w:val="24"/>
        </w:rPr>
        <w:t>1</w:t>
      </w:r>
      <w:r>
        <w:rPr>
          <w:rFonts w:hint="eastAsia" w:ascii="宋体" w:hAnsi="宋体"/>
          <w:sz w:val="24"/>
        </w:rPr>
        <w:t>.1.2投标人应提供投标文件电子版，具体要求见投标人须知前附表。</w:t>
      </w:r>
    </w:p>
    <w:p>
      <w:pPr>
        <w:pStyle w:val="25"/>
        <w:adjustRightInd w:val="0"/>
        <w:snapToGrid w:val="0"/>
        <w:spacing w:before="0" w:beforeAutospacing="0" w:after="0" w:afterAutospacing="0" w:line="360" w:lineRule="auto"/>
        <w:outlineLvl w:val="2"/>
        <w:rPr>
          <w:b/>
        </w:rPr>
      </w:pPr>
      <w:bookmarkStart w:id="52" w:name="_Toc424762599"/>
      <w:bookmarkStart w:id="53" w:name="_Toc425235605"/>
      <w:bookmarkStart w:id="54" w:name="_Toc22020"/>
      <w:r>
        <w:rPr>
          <w:b/>
        </w:rPr>
        <w:t>1</w:t>
      </w:r>
      <w:r>
        <w:rPr>
          <w:rFonts w:hint="eastAsia"/>
          <w:b/>
        </w:rPr>
        <w:t>.2投标报价</w:t>
      </w:r>
      <w:bookmarkEnd w:id="52"/>
      <w:bookmarkEnd w:id="53"/>
      <w:bookmarkEnd w:id="54"/>
    </w:p>
    <w:p>
      <w:pPr>
        <w:pStyle w:val="25"/>
        <w:adjustRightInd w:val="0"/>
        <w:snapToGrid w:val="0"/>
        <w:spacing w:before="0" w:beforeAutospacing="0" w:after="0" w:afterAutospacing="0" w:line="360" w:lineRule="auto"/>
        <w:ind w:firstLine="480" w:firstLineChars="200"/>
        <w:rPr>
          <w:kern w:val="2"/>
        </w:rPr>
      </w:pPr>
      <w:bookmarkStart w:id="55" w:name="_Toc186513161"/>
      <w:bookmarkStart w:id="56" w:name="_Toc424762602"/>
      <w:bookmarkStart w:id="57" w:name="_Toc7038"/>
      <w:bookmarkStart w:id="58" w:name="_Toc425235608"/>
      <w:r>
        <w:rPr>
          <w:rFonts w:hint="eastAsia"/>
          <w:kern w:val="2"/>
        </w:rPr>
        <w:t>1.2.1报价方式：投标报价为包干总价。除非合同中另行规定，投标价格包括安装、调试、管理费、税费、保险、政策性文件规定及合同包含的所有风险、责任等各项所有费用。</w:t>
      </w:r>
    </w:p>
    <w:p>
      <w:pPr>
        <w:pStyle w:val="25"/>
        <w:adjustRightInd w:val="0"/>
        <w:snapToGrid w:val="0"/>
        <w:spacing w:before="0" w:beforeAutospacing="0" w:after="0" w:afterAutospacing="0" w:line="360" w:lineRule="auto"/>
        <w:ind w:firstLine="480" w:firstLineChars="200"/>
        <w:rPr>
          <w:kern w:val="2"/>
        </w:rPr>
      </w:pPr>
      <w:r>
        <w:rPr>
          <w:rFonts w:hint="eastAsia"/>
          <w:kern w:val="2"/>
        </w:rPr>
        <w:t>1.2.2本次招标选择具有最佳性能价格比的服务，投标人若有招标文件未提及的优惠条件，可补充说明。</w:t>
      </w:r>
    </w:p>
    <w:p>
      <w:pPr>
        <w:pStyle w:val="25"/>
        <w:adjustRightInd w:val="0"/>
        <w:snapToGrid w:val="0"/>
        <w:spacing w:before="0" w:beforeAutospacing="0" w:after="0" w:afterAutospacing="0" w:line="360" w:lineRule="auto"/>
        <w:ind w:firstLine="480" w:firstLineChars="200"/>
        <w:rPr>
          <w:kern w:val="2"/>
        </w:rPr>
      </w:pPr>
      <w:r>
        <w:rPr>
          <w:rFonts w:hint="eastAsia"/>
          <w:kern w:val="2"/>
        </w:rPr>
        <w:t>1.2.3 招标人不承诺最低报价中标。</w:t>
      </w:r>
    </w:p>
    <w:p>
      <w:pPr>
        <w:pStyle w:val="25"/>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55"/>
      <w:bookmarkEnd w:id="56"/>
      <w:bookmarkEnd w:id="57"/>
      <w:bookmarkEnd w:id="58"/>
    </w:p>
    <w:p>
      <w:pPr>
        <w:pStyle w:val="25"/>
        <w:adjustRightInd w:val="0"/>
        <w:snapToGrid w:val="0"/>
        <w:spacing w:before="0" w:beforeAutospacing="0" w:after="0" w:afterAutospacing="0" w:line="360" w:lineRule="auto"/>
        <w:ind w:firstLine="480" w:firstLineChars="200"/>
      </w:pPr>
      <w:r>
        <w:t>1.3</w:t>
      </w:r>
      <w:r>
        <w:rPr>
          <w:rFonts w:hint="eastAsia"/>
        </w:rPr>
        <w:t>.1 “投标人基本情况表”应附投标人营业执照副本、组织机构代码证副本、税务登记证副本（或三证合一的营业执照）等证明材料复印件。</w:t>
      </w:r>
    </w:p>
    <w:p>
      <w:pPr>
        <w:adjustRightInd w:val="0"/>
        <w:snapToGrid w:val="0"/>
        <w:spacing w:line="360" w:lineRule="auto"/>
        <w:ind w:firstLine="480" w:firstLineChars="200"/>
        <w:rPr>
          <w:rFonts w:ascii="宋体" w:hAnsi="宋体" w:cs="宋体"/>
          <w:kern w:val="0"/>
          <w:sz w:val="24"/>
        </w:rPr>
      </w:pPr>
      <w:r>
        <w:rPr>
          <w:rFonts w:ascii="宋体" w:hAnsi="宋体" w:cs="宋体"/>
          <w:kern w:val="0"/>
          <w:sz w:val="24"/>
        </w:rPr>
        <w:t>1.3</w:t>
      </w:r>
      <w:r>
        <w:rPr>
          <w:rFonts w:hint="eastAsia" w:ascii="宋体" w:hAnsi="宋体" w:cs="宋体"/>
          <w:kern w:val="0"/>
          <w:sz w:val="24"/>
        </w:rPr>
        <w:t>.2 “类似业绩情况表”应附业绩证明材料（合同）的复印件。</w:t>
      </w:r>
    </w:p>
    <w:p>
      <w:pPr>
        <w:pStyle w:val="25"/>
        <w:adjustRightInd w:val="0"/>
        <w:snapToGrid w:val="0"/>
        <w:spacing w:before="0" w:beforeAutospacing="0" w:after="0" w:afterAutospacing="0" w:line="360" w:lineRule="auto"/>
        <w:outlineLvl w:val="2"/>
        <w:rPr>
          <w:b/>
        </w:rPr>
      </w:pPr>
      <w:bookmarkStart w:id="59" w:name="_Toc186513163"/>
      <w:bookmarkStart w:id="60" w:name="_Toc425235609"/>
      <w:bookmarkStart w:id="61" w:name="_Toc424762603"/>
      <w:bookmarkStart w:id="62" w:name="_Toc10934"/>
      <w:r>
        <w:rPr>
          <w:b/>
        </w:rPr>
        <w:t>1.4</w:t>
      </w:r>
      <w:r>
        <w:rPr>
          <w:rFonts w:hint="eastAsia"/>
          <w:b/>
        </w:rPr>
        <w:t xml:space="preserve"> 投标文件的编制</w:t>
      </w:r>
      <w:bookmarkEnd w:id="59"/>
      <w:bookmarkEnd w:id="60"/>
      <w:bookmarkEnd w:id="61"/>
      <w:bookmarkEnd w:id="62"/>
    </w:p>
    <w:p>
      <w:pPr>
        <w:pStyle w:val="25"/>
        <w:adjustRightInd w:val="0"/>
        <w:snapToGrid w:val="0"/>
        <w:spacing w:before="0" w:beforeAutospacing="0" w:after="0" w:afterAutospacing="0" w:line="360" w:lineRule="auto"/>
        <w:ind w:firstLine="480" w:firstLineChars="200"/>
      </w:pPr>
      <w:r>
        <w:t>1.4</w:t>
      </w:r>
      <w:r>
        <w:rPr>
          <w:rFonts w:hint="eastAsia"/>
        </w:rPr>
        <w:t>.1 投标文件应按第五章“投标文件格式”进行编写，如有必要，可以增加附页，作为投标文件的组成部分。</w:t>
      </w:r>
    </w:p>
    <w:p>
      <w:pPr>
        <w:pStyle w:val="25"/>
        <w:adjustRightInd w:val="0"/>
        <w:snapToGrid w:val="0"/>
        <w:spacing w:before="0" w:beforeAutospacing="0" w:after="0" w:afterAutospacing="0" w:line="360" w:lineRule="auto"/>
        <w:ind w:firstLine="480" w:firstLineChars="200"/>
      </w:pPr>
      <w:r>
        <w:t>1.4</w:t>
      </w:r>
      <w:r>
        <w:rPr>
          <w:rFonts w:hint="eastAsia"/>
        </w:rPr>
        <w:t>.2 投标文件应当对招标文件有关</w:t>
      </w:r>
      <w:r>
        <w:rPr>
          <w:rFonts w:hint="eastAsia"/>
          <w:b/>
        </w:rPr>
        <w:t>招标范围、质量要求、工期要求、技术要求</w:t>
      </w:r>
      <w:r>
        <w:rPr>
          <w:rFonts w:hint="eastAsia"/>
        </w:rPr>
        <w:t>等实质性内容作响应。</w:t>
      </w:r>
    </w:p>
    <w:p>
      <w:pPr>
        <w:pStyle w:val="25"/>
        <w:adjustRightInd w:val="0"/>
        <w:snapToGrid w:val="0"/>
        <w:spacing w:before="0" w:beforeAutospacing="0" w:after="0" w:afterAutospacing="0" w:line="360" w:lineRule="auto"/>
        <w:ind w:firstLine="480" w:firstLineChars="20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并由投标人的法定代表人或其授权的代理人签字确认。签字或盖章的具体要求见投标人须知前附表。</w:t>
      </w:r>
    </w:p>
    <w:p>
      <w:pPr>
        <w:pStyle w:val="25"/>
        <w:adjustRightInd w:val="0"/>
        <w:snapToGrid w:val="0"/>
        <w:spacing w:before="0" w:beforeAutospacing="0" w:after="0" w:afterAutospacing="0" w:line="360" w:lineRule="auto"/>
        <w:ind w:firstLine="480" w:firstLineChars="200"/>
      </w:pPr>
      <w:r>
        <w:t>1.4</w:t>
      </w:r>
      <w:r>
        <w:rPr>
          <w:rFonts w:hint="eastAsia"/>
        </w:rPr>
        <w:t>.4 投标文件正本一份，副本份数见投标人须知前附表。当副本和正本不一致时，以正本为准。</w:t>
      </w:r>
    </w:p>
    <w:p>
      <w:pPr>
        <w:pStyle w:val="25"/>
        <w:adjustRightInd w:val="0"/>
        <w:snapToGrid w:val="0"/>
        <w:spacing w:before="0" w:beforeAutospacing="0" w:after="0" w:afterAutospacing="0" w:line="360" w:lineRule="auto"/>
        <w:ind w:firstLine="480" w:firstLineChars="200"/>
      </w:pPr>
      <w:r>
        <w:t>1.4</w:t>
      </w:r>
      <w:r>
        <w:rPr>
          <w:rFonts w:hint="eastAsia"/>
        </w:rPr>
        <w:t>.5 投标文件的正本与副本应分别装订成册，并编制目录，具体装订要求见投标人须知前附表规定。</w:t>
      </w:r>
      <w:bookmarkStart w:id="63" w:name="_Toc186513166"/>
    </w:p>
    <w:bookmarkEnd w:id="63"/>
    <w:p>
      <w:pPr>
        <w:pStyle w:val="25"/>
        <w:adjustRightInd w:val="0"/>
        <w:snapToGrid w:val="0"/>
        <w:spacing w:before="0" w:beforeAutospacing="0" w:after="0" w:afterAutospacing="0" w:line="360" w:lineRule="auto"/>
      </w:pPr>
    </w:p>
    <w:p>
      <w:pPr>
        <w:spacing w:line="360" w:lineRule="auto"/>
        <w:rPr>
          <w:rFonts w:ascii="宋体" w:hAnsi="宋体"/>
          <w:b/>
          <w:sz w:val="32"/>
          <w:szCs w:val="32"/>
        </w:rPr>
      </w:pPr>
      <w:bookmarkStart w:id="64" w:name="_Toc386436350"/>
      <w:bookmarkStart w:id="65" w:name="_Toc26262"/>
      <w:bookmarkStart w:id="66" w:name="_Toc414463499"/>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jc w:val="center"/>
        <w:outlineLvl w:val="0"/>
        <w:rPr>
          <w:rFonts w:ascii="宋体" w:hAnsi="宋体"/>
          <w:b/>
          <w:sz w:val="32"/>
          <w:szCs w:val="32"/>
        </w:rPr>
      </w:pPr>
      <w:bookmarkStart w:id="67" w:name="_Toc12476104"/>
      <w:r>
        <w:rPr>
          <w:rFonts w:ascii="宋体" w:hAnsi="宋体"/>
          <w:b/>
          <w:sz w:val="32"/>
          <w:szCs w:val="32"/>
        </w:rPr>
        <w:t xml:space="preserve">第三章  </w:t>
      </w:r>
      <w:r>
        <w:rPr>
          <w:rFonts w:hint="eastAsia" w:ascii="宋体" w:hAnsi="宋体"/>
          <w:b/>
          <w:sz w:val="32"/>
          <w:szCs w:val="32"/>
        </w:rPr>
        <w:t>合同格式</w:t>
      </w:r>
      <w:bookmarkEnd w:id="64"/>
      <w:bookmarkEnd w:id="65"/>
      <w:bookmarkEnd w:id="66"/>
      <w:bookmarkEnd w:id="67"/>
    </w:p>
    <w:p>
      <w:pPr>
        <w:spacing w:line="800" w:lineRule="exact"/>
        <w:rPr>
          <w:rFonts w:ascii="宋体" w:hAnsi="宋体" w:cs="宋体"/>
          <w:color w:val="000000"/>
          <w:sz w:val="32"/>
          <w:szCs w:val="32"/>
        </w:rPr>
      </w:pPr>
      <w:bookmarkStart w:id="68" w:name="_Toc514094199"/>
      <w:bookmarkStart w:id="69" w:name="_Toc414463506"/>
      <w:bookmarkStart w:id="70" w:name="_Toc382939458"/>
      <w:bookmarkStart w:id="71" w:name="_Toc12476122"/>
      <w:bookmarkStart w:id="72" w:name="_Toc19397"/>
      <w:bookmarkStart w:id="73" w:name="_Toc389839410"/>
      <w:r>
        <w:rPr>
          <w:rFonts w:hint="eastAsia" w:ascii="宋体" w:hAnsi="宋体" w:cs="宋体"/>
          <w:color w:val="000000"/>
          <w:sz w:val="32"/>
          <w:szCs w:val="32"/>
        </w:rPr>
        <w:t>编号：</w:t>
      </w:r>
    </w:p>
    <w:p>
      <w:pPr>
        <w:spacing w:before="100" w:after="100" w:line="800" w:lineRule="exact"/>
        <w:rPr>
          <w:rFonts w:ascii="宋体" w:cs="宋体"/>
          <w:b/>
          <w:bCs/>
          <w:color w:val="000000"/>
          <w:spacing w:val="30"/>
          <w:sz w:val="44"/>
          <w:szCs w:val="44"/>
        </w:rPr>
      </w:pPr>
    </w:p>
    <w:p>
      <w:pPr>
        <w:spacing w:before="100" w:after="100" w:line="800" w:lineRule="exact"/>
        <w:rPr>
          <w:rFonts w:ascii="宋体" w:cs="宋体"/>
          <w:b/>
          <w:bCs/>
          <w:color w:val="000000"/>
          <w:spacing w:val="30"/>
          <w:sz w:val="44"/>
          <w:szCs w:val="44"/>
        </w:rPr>
      </w:pPr>
    </w:p>
    <w:p>
      <w:pPr>
        <w:spacing w:before="100" w:after="100" w:line="800" w:lineRule="exact"/>
        <w:rPr>
          <w:rFonts w:ascii="宋体" w:cs="宋体"/>
          <w:b/>
          <w:bCs/>
          <w:color w:val="000000"/>
          <w:spacing w:val="30"/>
          <w:sz w:val="44"/>
          <w:szCs w:val="44"/>
        </w:rPr>
      </w:pPr>
    </w:p>
    <w:bookmarkEnd w:id="68"/>
    <w:p>
      <w:pPr>
        <w:spacing w:line="800" w:lineRule="exact"/>
        <w:jc w:val="center"/>
        <w:rPr>
          <w:bCs/>
          <w:sz w:val="32"/>
          <w:szCs w:val="32"/>
        </w:rPr>
      </w:pPr>
      <w:r>
        <w:rPr>
          <w:rFonts w:hint="eastAsia"/>
          <w:bCs/>
          <w:sz w:val="32"/>
          <w:szCs w:val="32"/>
        </w:rPr>
        <w:t>云南理工职业学院有限公司</w:t>
      </w:r>
    </w:p>
    <w:p>
      <w:pPr>
        <w:adjustRightInd w:val="0"/>
        <w:snapToGrid w:val="0"/>
        <w:spacing w:before="100" w:after="100" w:line="800" w:lineRule="exact"/>
        <w:jc w:val="center"/>
        <w:rPr>
          <w:rFonts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网络舆情监测服务采购合同</w:t>
      </w:r>
    </w:p>
    <w:p>
      <w:pPr>
        <w:spacing w:line="800" w:lineRule="exact"/>
        <w:jc w:val="center"/>
        <w:rPr>
          <w:sz w:val="28"/>
          <w:szCs w:val="28"/>
        </w:rPr>
      </w:pPr>
    </w:p>
    <w:p>
      <w:pPr>
        <w:spacing w:line="800" w:lineRule="exact"/>
        <w:jc w:val="center"/>
        <w:rPr>
          <w:sz w:val="28"/>
          <w:szCs w:val="28"/>
        </w:rPr>
      </w:pPr>
    </w:p>
    <w:p>
      <w:pPr>
        <w:spacing w:line="800" w:lineRule="exact"/>
        <w:rPr>
          <w:sz w:val="28"/>
          <w:szCs w:val="28"/>
        </w:rPr>
      </w:pPr>
    </w:p>
    <w:p>
      <w:pPr>
        <w:spacing w:line="800" w:lineRule="exact"/>
        <w:ind w:firstLine="640" w:firstLineChars="200"/>
        <w:jc w:val="center"/>
        <w:rPr>
          <w:sz w:val="28"/>
          <w:szCs w:val="28"/>
        </w:rPr>
      </w:pPr>
      <w:r>
        <w:rPr>
          <w:rFonts w:hint="eastAsia"/>
          <w:sz w:val="32"/>
          <w:szCs w:val="32"/>
        </w:rPr>
        <w:t>甲方：云南理工职业学院有限公司</w:t>
      </w:r>
    </w:p>
    <w:p>
      <w:pPr>
        <w:spacing w:line="800" w:lineRule="exact"/>
        <w:ind w:firstLine="2684" w:firstLineChars="839"/>
        <w:rPr>
          <w:sz w:val="32"/>
          <w:szCs w:val="32"/>
        </w:rPr>
      </w:pPr>
      <w:r>
        <w:rPr>
          <w:rFonts w:hint="eastAsia"/>
          <w:sz w:val="32"/>
          <w:szCs w:val="32"/>
        </w:rPr>
        <w:t>乙方：</w:t>
      </w:r>
      <w:bookmarkStart w:id="74" w:name="_Hlk533095081"/>
      <w:r>
        <w:rPr>
          <w:sz w:val="32"/>
          <w:szCs w:val="32"/>
        </w:rPr>
        <w:t xml:space="preserve"> </w:t>
      </w:r>
    </w:p>
    <w:bookmarkEnd w:id="74"/>
    <w:p>
      <w:pPr>
        <w:spacing w:line="800" w:lineRule="exact"/>
        <w:rPr>
          <w:sz w:val="28"/>
          <w:szCs w:val="28"/>
        </w:rPr>
      </w:pPr>
    </w:p>
    <w:p>
      <w:pPr>
        <w:spacing w:line="800" w:lineRule="exact"/>
        <w:ind w:firstLine="2720" w:firstLineChars="850"/>
        <w:rPr>
          <w:sz w:val="32"/>
          <w:szCs w:val="32"/>
        </w:rPr>
      </w:pPr>
      <w:r>
        <w:rPr>
          <w:sz w:val="32"/>
          <w:szCs w:val="32"/>
        </w:rPr>
        <w:t>合同签订地点</w:t>
      </w:r>
      <w:r>
        <w:rPr>
          <w:rFonts w:hint="eastAsia"/>
          <w:sz w:val="32"/>
          <w:szCs w:val="32"/>
        </w:rPr>
        <w:t>：昆明市安宁市</w:t>
      </w:r>
    </w:p>
    <w:p>
      <w:pPr>
        <w:spacing w:line="800" w:lineRule="exact"/>
        <w:ind w:firstLine="2720" w:firstLineChars="850"/>
        <w:rPr>
          <w:sz w:val="32"/>
          <w:szCs w:val="32"/>
        </w:rPr>
      </w:pPr>
      <w:r>
        <w:rPr>
          <w:rFonts w:hint="eastAsia"/>
          <w:sz w:val="32"/>
          <w:szCs w:val="32"/>
        </w:rPr>
        <w:t>合同签订日期：20</w:t>
      </w:r>
      <w:r>
        <w:rPr>
          <w:sz w:val="32"/>
          <w:szCs w:val="32"/>
        </w:rPr>
        <w:t>23</w:t>
      </w:r>
      <w:r>
        <w:rPr>
          <w:rFonts w:hint="eastAsia"/>
          <w:sz w:val="32"/>
          <w:szCs w:val="32"/>
        </w:rPr>
        <w:t>年 月 日</w:t>
      </w:r>
    </w:p>
    <w:p>
      <w:pPr>
        <w:rPr>
          <w:sz w:val="32"/>
          <w:szCs w:val="32"/>
        </w:rPr>
      </w:pPr>
    </w:p>
    <w:p>
      <w:pPr>
        <w:rPr>
          <w:sz w:val="32"/>
          <w:szCs w:val="32"/>
        </w:rPr>
      </w:pPr>
    </w:p>
    <w:p>
      <w:pPr>
        <w:rPr>
          <w:sz w:val="32"/>
          <w:szCs w:val="32"/>
        </w:rPr>
      </w:pPr>
    </w:p>
    <w:p>
      <w:pPr>
        <w:rPr>
          <w:sz w:val="32"/>
          <w:szCs w:val="32"/>
        </w:rPr>
      </w:pPr>
    </w:p>
    <w:p>
      <w:pPr>
        <w:spacing w:line="560" w:lineRule="exact"/>
        <w:rPr>
          <w:rFonts w:asciiTheme="minorEastAsia" w:hAnsiTheme="minorEastAsia" w:eastAsiaTheme="minorEastAsia"/>
          <w:sz w:val="24"/>
        </w:rPr>
      </w:pPr>
      <w:r>
        <w:rPr>
          <w:rFonts w:hint="eastAsia" w:asciiTheme="minorEastAsia" w:hAnsiTheme="minorEastAsia" w:eastAsiaTheme="minorEastAsia"/>
          <w:sz w:val="24"/>
        </w:rPr>
        <w:t>甲方：云南理工职业学院有限公司</w:t>
      </w:r>
      <w:r>
        <w:rPr>
          <w:rFonts w:hint="eastAsia" w:asciiTheme="minorEastAsia" w:hAnsiTheme="minorEastAsia" w:eastAsiaTheme="minorEastAsia" w:cstheme="minorEastAsia"/>
          <w:sz w:val="24"/>
        </w:rPr>
        <w:t>（以下简称“甲方”）</w:t>
      </w:r>
    </w:p>
    <w:p>
      <w:pPr>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r>
        <w:rPr>
          <w:rFonts w:hint="eastAsia" w:asciiTheme="minorEastAsia" w:hAnsiTheme="minorEastAsia" w:eastAsiaTheme="minorEastAsia" w:cstheme="minorEastAsia"/>
          <w:sz w:val="24"/>
        </w:rPr>
        <w:t>（以下简称“乙方”）</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甲乙双方按照自愿、公平、等价有偿和诚实信用的原则，根据《中华人民共和国合同法》，结合工程的具体情况，经过友好协商达成如下合同条款，共同遵照执行。</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一、项目概况</w:t>
      </w:r>
    </w:p>
    <w:p>
      <w:pPr>
        <w:spacing w:line="560" w:lineRule="exact"/>
        <w:ind w:firstLine="480" w:firstLineChars="200"/>
        <w:rPr>
          <w:rFonts w:asciiTheme="minorEastAsia" w:hAnsiTheme="minorEastAsia" w:eastAsiaTheme="minorEastAsia"/>
          <w:sz w:val="24"/>
        </w:rPr>
      </w:pPr>
      <w:bookmarkStart w:id="75" w:name="_Hlk533095164"/>
      <w:r>
        <w:rPr>
          <w:rFonts w:hint="eastAsia" w:asciiTheme="minorEastAsia" w:hAnsiTheme="minorEastAsia" w:eastAsiaTheme="minorEastAsia"/>
          <w:sz w:val="24"/>
        </w:rPr>
        <w:t>1</w:t>
      </w:r>
      <w:r>
        <w:rPr>
          <w:rFonts w:asciiTheme="minorEastAsia" w:hAnsiTheme="minorEastAsia" w:eastAsiaTheme="minorEastAsia"/>
          <w:sz w:val="24"/>
        </w:rPr>
        <w:t>.1</w:t>
      </w:r>
      <w:r>
        <w:rPr>
          <w:rFonts w:hint="eastAsia" w:asciiTheme="minorEastAsia" w:hAnsiTheme="minorEastAsia" w:eastAsiaTheme="minorEastAsia"/>
          <w:sz w:val="24"/>
        </w:rPr>
        <w:t>项目名称：网络舆情监测服务采购项目</w:t>
      </w:r>
    </w:p>
    <w:bookmarkEnd w:id="75"/>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.2</w:t>
      </w:r>
      <w:r>
        <w:rPr>
          <w:rFonts w:hint="eastAsia" w:asciiTheme="minorEastAsia" w:hAnsiTheme="minorEastAsia" w:eastAsiaTheme="minorEastAsia"/>
          <w:sz w:val="24"/>
        </w:rPr>
        <w:t>项目地点：云南省昆明市安宁市</w:t>
      </w:r>
    </w:p>
    <w:p>
      <w:pPr>
        <w:spacing w:line="560" w:lineRule="exact"/>
        <w:ind w:firstLine="480" w:firstLineChars="200"/>
        <w:rPr>
          <w:rFonts w:asciiTheme="minorEastAsia" w:hAnsiTheme="minorEastAsia" w:eastAsiaTheme="minorEastAsia"/>
          <w:sz w:val="24"/>
        </w:rPr>
      </w:pPr>
      <w:bookmarkStart w:id="76" w:name="_Hlk533095202"/>
      <w:r>
        <w:rPr>
          <w:rFonts w:hint="eastAsia" w:asciiTheme="minorEastAsia" w:hAnsiTheme="minorEastAsia" w:eastAsiaTheme="minorEastAsia"/>
          <w:sz w:val="24"/>
        </w:rPr>
        <w:t>1</w:t>
      </w:r>
      <w:r>
        <w:rPr>
          <w:rFonts w:asciiTheme="minorEastAsia" w:hAnsiTheme="minorEastAsia" w:eastAsiaTheme="minorEastAsia"/>
          <w:sz w:val="24"/>
        </w:rPr>
        <w:t>.3</w:t>
      </w:r>
      <w:r>
        <w:rPr>
          <w:rFonts w:hint="eastAsia" w:asciiTheme="minorEastAsia" w:hAnsiTheme="minorEastAsia" w:eastAsiaTheme="minorEastAsia"/>
          <w:sz w:val="24"/>
        </w:rPr>
        <w:t>项目内容：</w:t>
      </w:r>
      <w:bookmarkEnd w:id="76"/>
      <w:r>
        <w:rPr>
          <w:rFonts w:hint="eastAsia" w:asciiTheme="minorEastAsia" w:hAnsiTheme="minorEastAsia" w:eastAsiaTheme="minorEastAsia"/>
          <w:sz w:val="24"/>
        </w:rPr>
        <w:t>云南理工职业学院网络舆情监控（具体详见附件一）</w:t>
      </w:r>
    </w:p>
    <w:p>
      <w:pPr>
        <w:spacing w:line="5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1.4服务</w:t>
      </w:r>
      <w:r>
        <w:rPr>
          <w:rFonts w:asciiTheme="minorEastAsia" w:hAnsiTheme="minorEastAsia" w:eastAsiaTheme="minorEastAsia"/>
          <w:sz w:val="24"/>
        </w:rPr>
        <w:t>期限：</w:t>
      </w:r>
      <w:r>
        <w:rPr>
          <w:rFonts w:hint="eastAsia" w:asciiTheme="minorEastAsia" w:hAnsiTheme="minorEastAsia" w:eastAsiaTheme="minorEastAsia"/>
          <w:sz w:val="24"/>
        </w:rPr>
        <w:t>服务</w:t>
      </w:r>
      <w:r>
        <w:rPr>
          <w:rFonts w:asciiTheme="minorEastAsia" w:hAnsiTheme="minorEastAsia" w:eastAsiaTheme="minorEastAsia"/>
          <w:sz w:val="24"/>
        </w:rPr>
        <w:t>期限</w:t>
      </w:r>
      <w:r>
        <w:rPr>
          <w:rFonts w:hint="eastAsia" w:asciiTheme="minorEastAsia" w:hAnsiTheme="minorEastAsia" w:eastAsiaTheme="minorEastAsia"/>
          <w:sz w:val="24"/>
        </w:rPr>
        <w:t>为</w:t>
      </w:r>
      <w:r>
        <w:rPr>
          <w:rFonts w:asciiTheme="minorEastAsia" w:hAnsiTheme="minorEastAsia" w:eastAsiaTheme="minorEastAsia"/>
          <w:sz w:val="24"/>
        </w:rPr>
        <w:t>3</w:t>
      </w:r>
      <w:r>
        <w:rPr>
          <w:rFonts w:hint="eastAsia" w:asciiTheme="minorEastAsia" w:hAnsiTheme="minorEastAsia" w:eastAsiaTheme="minorEastAsia"/>
          <w:sz w:val="24"/>
        </w:rPr>
        <w:t>年</w:t>
      </w:r>
      <w:r>
        <w:rPr>
          <w:rFonts w:asciiTheme="minorEastAsia" w:hAnsiTheme="minorEastAsia" w:eastAsiaTheme="minorEastAsia"/>
          <w:sz w:val="24"/>
        </w:rPr>
        <w:t>，</w:t>
      </w:r>
      <w:r>
        <w:rPr>
          <w:rFonts w:hint="eastAsia" w:asciiTheme="minorEastAsia" w:hAnsiTheme="minorEastAsia" w:eastAsiaTheme="minorEastAsia"/>
          <w:sz w:val="24"/>
        </w:rPr>
        <w:t>乙方每年完成</w:t>
      </w:r>
      <w:r>
        <w:rPr>
          <w:rFonts w:asciiTheme="minorEastAsia" w:hAnsiTheme="minorEastAsia" w:eastAsiaTheme="minorEastAsia"/>
          <w:sz w:val="24"/>
        </w:rPr>
        <w:t>相关服务后</w:t>
      </w:r>
      <w:r>
        <w:rPr>
          <w:rFonts w:hint="eastAsia" w:asciiTheme="minorEastAsia" w:hAnsiTheme="minorEastAsia" w:eastAsiaTheme="minorEastAsia"/>
          <w:sz w:val="24"/>
        </w:rPr>
        <w:t>，甲方</w:t>
      </w:r>
      <w:r>
        <w:rPr>
          <w:rFonts w:asciiTheme="minorEastAsia" w:hAnsiTheme="minorEastAsia" w:eastAsiaTheme="minorEastAsia"/>
          <w:sz w:val="24"/>
        </w:rPr>
        <w:t>有权</w:t>
      </w:r>
      <w:r>
        <w:rPr>
          <w:rFonts w:hint="eastAsia" w:asciiTheme="minorEastAsia" w:hAnsiTheme="minorEastAsia" w:eastAsiaTheme="minorEastAsia"/>
          <w:sz w:val="24"/>
        </w:rPr>
        <w:t>根据约定</w:t>
      </w:r>
      <w:r>
        <w:rPr>
          <w:rFonts w:asciiTheme="minorEastAsia" w:hAnsiTheme="minorEastAsia" w:eastAsiaTheme="minorEastAsia"/>
          <w:sz w:val="24"/>
        </w:rPr>
        <w:t>的考核办法对</w:t>
      </w:r>
      <w:r>
        <w:rPr>
          <w:rFonts w:hint="eastAsia" w:asciiTheme="minorEastAsia" w:hAnsiTheme="minorEastAsia" w:eastAsiaTheme="minorEastAsia"/>
          <w:sz w:val="24"/>
        </w:rPr>
        <w:t>乙方</w:t>
      </w:r>
      <w:r>
        <w:rPr>
          <w:rFonts w:asciiTheme="minorEastAsia" w:hAnsiTheme="minorEastAsia" w:eastAsiaTheme="minorEastAsia"/>
          <w:sz w:val="24"/>
        </w:rPr>
        <w:t>进行考核，</w:t>
      </w:r>
      <w:r>
        <w:rPr>
          <w:rFonts w:hint="eastAsia" w:asciiTheme="minorEastAsia" w:hAnsiTheme="minorEastAsia" w:eastAsiaTheme="minorEastAsia"/>
          <w:sz w:val="24"/>
        </w:rPr>
        <w:t>若乙方服务未达到招标人标准及要求，招标人有权单方面解除合同。</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二、合同价款</w:t>
      </w:r>
      <w:r>
        <w:rPr>
          <w:rFonts w:asciiTheme="minorEastAsia" w:hAnsiTheme="minorEastAsia" w:eastAsiaTheme="minorEastAsia" w:cstheme="minorEastAsia"/>
          <w:sz w:val="24"/>
        </w:rPr>
        <w:tab/>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xml:space="preserve">.1 </w:t>
      </w:r>
      <w:r>
        <w:rPr>
          <w:rFonts w:hint="eastAsia" w:asciiTheme="minorEastAsia" w:hAnsiTheme="minorEastAsia" w:eastAsiaTheme="minorEastAsia"/>
          <w:sz w:val="24"/>
        </w:rPr>
        <w:t>本</w:t>
      </w:r>
      <w:bookmarkStart w:id="77" w:name="_Hlk533095282"/>
      <w:r>
        <w:rPr>
          <w:rFonts w:hint="eastAsia" w:asciiTheme="minorEastAsia" w:hAnsiTheme="minorEastAsia" w:eastAsiaTheme="minorEastAsia"/>
          <w:sz w:val="24"/>
        </w:rPr>
        <w:t>合同价款采用总价包干合同，每年支付金额为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元（大写：</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r>
        <w:rPr>
          <w:rFonts w:asciiTheme="minorEastAsia" w:hAnsiTheme="minorEastAsia" w:eastAsiaTheme="minorEastAsia"/>
          <w:sz w:val="24"/>
        </w:rPr>
        <w:t>服务期限为3</w:t>
      </w:r>
      <w:r>
        <w:rPr>
          <w:rFonts w:hint="eastAsia" w:asciiTheme="minorEastAsia" w:hAnsiTheme="minorEastAsia" w:eastAsiaTheme="minorEastAsia"/>
          <w:sz w:val="24"/>
        </w:rPr>
        <w:t>年，</w:t>
      </w:r>
      <w:r>
        <w:rPr>
          <w:rFonts w:asciiTheme="minorEastAsia" w:hAnsiTheme="minorEastAsia" w:eastAsiaTheme="minorEastAsia"/>
          <w:sz w:val="24"/>
        </w:rPr>
        <w:t>合计总</w:t>
      </w:r>
      <w:r>
        <w:rPr>
          <w:rFonts w:hint="eastAsia" w:asciiTheme="minorEastAsia" w:hAnsiTheme="minorEastAsia" w:eastAsiaTheme="minorEastAsia"/>
          <w:sz w:val="24"/>
        </w:rPr>
        <w:t>金额为</w:t>
      </w:r>
      <w:r>
        <w:rPr>
          <w:rFonts w:hint="eastAsia" w:asciiTheme="minorEastAsia" w:hAnsiTheme="minorEastAsia" w:eastAsiaTheme="minorEastAsia"/>
          <w:sz w:val="24"/>
          <w:u w:val="single"/>
        </w:rPr>
        <w:t xml:space="preserve">    </w:t>
      </w:r>
      <w:r>
        <w:rPr>
          <w:rFonts w:asciiTheme="minorEastAsia" w:hAnsiTheme="minorEastAsia" w:eastAsiaTheme="minorEastAsia"/>
          <w:sz w:val="24"/>
        </w:rPr>
        <w:t>元</w:t>
      </w:r>
      <w:r>
        <w:rPr>
          <w:rFonts w:hint="eastAsia" w:asciiTheme="minorEastAsia" w:hAnsiTheme="minorEastAsia" w:eastAsiaTheme="minorEastAsia"/>
          <w:sz w:val="24"/>
        </w:rPr>
        <w:t>（大写：</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bookmarkEnd w:id="77"/>
      <w:bookmarkStart w:id="78" w:name="_Hlk533095291"/>
      <w:r>
        <w:rPr>
          <w:rFonts w:hint="eastAsia" w:asciiTheme="minorEastAsia" w:hAnsiTheme="minorEastAsia" w:eastAsiaTheme="minorEastAsia" w:cstheme="minorEastAsia"/>
          <w:sz w:val="24"/>
        </w:rPr>
        <w:t>。</w:t>
      </w:r>
    </w:p>
    <w:bookmarkEnd w:id="78"/>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 xml:space="preserve">2.2 </w:t>
      </w:r>
      <w:r>
        <w:rPr>
          <w:rFonts w:hint="eastAsia" w:asciiTheme="minorEastAsia" w:hAnsiTheme="minorEastAsia" w:eastAsiaTheme="minorEastAsia" w:cstheme="minorEastAsia"/>
          <w:sz w:val="24"/>
        </w:rPr>
        <w:t>以上价格包括安装、调试、管理费、税费、保险、政策性文件规定及合同包含的所有风险、责任等各项所有费用。</w:t>
      </w:r>
    </w:p>
    <w:p>
      <w:pPr>
        <w:spacing w:line="560" w:lineRule="exact"/>
        <w:ind w:firstLine="480" w:firstLineChars="200"/>
        <w:rPr>
          <w:rFonts w:asciiTheme="minorEastAsia" w:hAnsiTheme="minorEastAsia" w:eastAsiaTheme="minorEastAsia" w:cstheme="minorEastAsia"/>
          <w:sz w:val="24"/>
        </w:rPr>
      </w:pPr>
      <w:r>
        <w:rPr>
          <w:rFonts w:ascii="宋体" w:hAnsi="宋体" w:cs="宋体"/>
          <w:sz w:val="24"/>
        </w:rPr>
        <w:t>2.3</w:t>
      </w:r>
      <w:r>
        <w:rPr>
          <w:rFonts w:hint="eastAsia" w:ascii="宋体" w:hAnsi="宋体" w:cs="宋体"/>
          <w:sz w:val="24"/>
        </w:rPr>
        <w:t>以上价格不因人工、设备等</w:t>
      </w:r>
      <w:r>
        <w:rPr>
          <w:rFonts w:ascii="宋体" w:hAnsi="宋体" w:cs="宋体"/>
          <w:sz w:val="24"/>
        </w:rPr>
        <w:t>因素</w:t>
      </w:r>
      <w:r>
        <w:rPr>
          <w:rFonts w:hint="eastAsia" w:ascii="宋体" w:hAnsi="宋体" w:cs="宋体"/>
          <w:sz w:val="24"/>
        </w:rPr>
        <w:t>价格上涨而进行调整。</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三、付款方式</w:t>
      </w:r>
    </w:p>
    <w:p>
      <w:pPr>
        <w:spacing w:line="560" w:lineRule="exact"/>
        <w:ind w:firstLine="482" w:firstLineChars="200"/>
        <w:rPr>
          <w:rFonts w:asciiTheme="minorEastAsia" w:hAnsiTheme="minorEastAsia" w:eastAsiaTheme="minorEastAsia" w:cstheme="minorEastAsia"/>
          <w:b/>
          <w:bCs/>
          <w:sz w:val="24"/>
        </w:rPr>
      </w:pPr>
      <w:bookmarkStart w:id="79" w:name="_Hlk533095360"/>
      <w:bookmarkStart w:id="80" w:name="_Toc512624828"/>
      <w:bookmarkStart w:id="81" w:name="_Toc514094201"/>
      <w:r>
        <w:rPr>
          <w:rFonts w:hint="eastAsia" w:asciiTheme="minorEastAsia" w:hAnsiTheme="minorEastAsia" w:eastAsiaTheme="minorEastAsia" w:cstheme="minorEastAsia"/>
          <w:b/>
          <w:bCs/>
          <w:sz w:val="24"/>
        </w:rPr>
        <w:t>合同签订之日起，乙方按照甲方要求完成对现阶段所有需求的网络舆情监控工作。服务完成后，收到</w:t>
      </w:r>
      <w:r>
        <w:rPr>
          <w:rFonts w:hint="eastAsia" w:ascii="宋体" w:hAnsi="宋体" w:cs="宋体"/>
          <w:b/>
          <w:bCs/>
          <w:sz w:val="24"/>
        </w:rPr>
        <w:t>乙方开具等额的金额增值税专用发票后，</w:t>
      </w:r>
      <w:r>
        <w:rPr>
          <w:rFonts w:hint="eastAsia" w:asciiTheme="minorEastAsia" w:hAnsiTheme="minorEastAsia" w:eastAsiaTheme="minorEastAsia" w:cstheme="minorEastAsia"/>
          <w:b/>
          <w:bCs/>
          <w:sz w:val="24"/>
        </w:rPr>
        <w:t>每年年底将网络舆情监测服务费支付至乙方指定账户。乙方的指定收款账户信息如下：</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开户名称：</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开户行：</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银行账号:</w:t>
      </w:r>
      <w:bookmarkEnd w:id="79"/>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四、工期及进度要求</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签订之日起，完成现阶段所有需求的网络舆情监测服务工作。甲方根据工作进度的情况，有权提出对部分或全部提前或延迟完成，但应在前述完成日期前10天告知乙方，甲方提出对部分或全部提前或延迟完成，乙方不得对甲方进行索赔。</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五、甲方的权利义务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5.1甲方</w:t>
      </w:r>
      <w:r>
        <w:rPr>
          <w:rFonts w:asciiTheme="minorEastAsia" w:hAnsiTheme="minorEastAsia" w:eastAsiaTheme="minorEastAsia" w:cstheme="minorEastAsia"/>
          <w:sz w:val="24"/>
        </w:rPr>
        <w:t>提供</w:t>
      </w:r>
      <w:r>
        <w:rPr>
          <w:rFonts w:hint="eastAsia" w:asciiTheme="minorEastAsia" w:hAnsiTheme="minorEastAsia" w:eastAsiaTheme="minorEastAsia" w:cstheme="minorEastAsia"/>
          <w:sz w:val="24"/>
        </w:rPr>
        <w:t>真实</w:t>
      </w:r>
      <w:r>
        <w:rPr>
          <w:rFonts w:asciiTheme="minorEastAsia" w:hAnsiTheme="minorEastAsia" w:eastAsiaTheme="minorEastAsia" w:cstheme="minorEastAsia"/>
          <w:sz w:val="24"/>
        </w:rPr>
        <w:t>有效的客户资料，并根据实际变更情况及时</w:t>
      </w:r>
      <w:r>
        <w:rPr>
          <w:rFonts w:hint="eastAsia" w:asciiTheme="minorEastAsia" w:hAnsiTheme="minorEastAsia" w:eastAsiaTheme="minorEastAsia" w:cstheme="minorEastAsia"/>
          <w:sz w:val="24"/>
        </w:rPr>
        <w:t>通过</w:t>
      </w:r>
      <w:r>
        <w:rPr>
          <w:rFonts w:asciiTheme="minorEastAsia" w:hAnsiTheme="minorEastAsia" w:eastAsiaTheme="minorEastAsia" w:cstheme="minorEastAsia"/>
          <w:sz w:val="24"/>
        </w:rPr>
        <w:t>书面形式与乙方取得联系，进行客户资料更新;</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5.2在</w:t>
      </w:r>
      <w:r>
        <w:rPr>
          <w:rFonts w:asciiTheme="minorEastAsia" w:hAnsiTheme="minorEastAsia" w:eastAsiaTheme="minorEastAsia" w:cstheme="minorEastAsia"/>
          <w:sz w:val="24"/>
        </w:rPr>
        <w:t>合同期限内，甲方有权更改指定的</w:t>
      </w:r>
      <w:r>
        <w:rPr>
          <w:rFonts w:hint="eastAsia" w:asciiTheme="minorEastAsia" w:hAnsiTheme="minorEastAsia" w:eastAsiaTheme="minorEastAsia" w:cstheme="minorEastAsia"/>
          <w:sz w:val="24"/>
        </w:rPr>
        <w:t>监测</w:t>
      </w:r>
      <w:r>
        <w:rPr>
          <w:rFonts w:asciiTheme="minorEastAsia" w:hAnsiTheme="minorEastAsia" w:eastAsiaTheme="minorEastAsia" w:cstheme="minorEastAsia"/>
          <w:sz w:val="24"/>
        </w:rPr>
        <w:t>关键词，但不超出合同约定范围；更改时，甲方应及时通知乙方</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5.3甲方按时支付相应费用;</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r>
        <w:rPr>
          <w:rFonts w:asciiTheme="minorEastAsia" w:hAnsiTheme="minorEastAsia" w:eastAsiaTheme="minorEastAsia" w:cstheme="minorEastAsia"/>
          <w:sz w:val="24"/>
        </w:rPr>
        <w:t>4</w:t>
      </w:r>
      <w:bookmarkStart w:id="82" w:name="_Hlk533095417"/>
      <w:r>
        <w:rPr>
          <w:rFonts w:hint="eastAsia" w:asciiTheme="minorEastAsia" w:hAnsiTheme="minorEastAsia" w:eastAsiaTheme="minorEastAsia" w:cstheme="minorEastAsia"/>
          <w:sz w:val="24"/>
        </w:rPr>
        <w:t>甲方有权对乙方提供服务过程进行监督，并提出合理意见和建议。</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5.5甲方</w:t>
      </w:r>
      <w:r>
        <w:rPr>
          <w:rFonts w:asciiTheme="minorEastAsia" w:hAnsiTheme="minorEastAsia" w:eastAsiaTheme="minorEastAsia" w:cstheme="minorEastAsia"/>
          <w:sz w:val="24"/>
        </w:rPr>
        <w:t>应妥善保管账号和密码，未经乙方</w:t>
      </w:r>
      <w:r>
        <w:rPr>
          <w:rFonts w:hint="eastAsia" w:asciiTheme="minorEastAsia" w:hAnsiTheme="minorEastAsia" w:eastAsiaTheme="minorEastAsia" w:cstheme="minorEastAsia"/>
          <w:sz w:val="24"/>
        </w:rPr>
        <w:t>事先</w:t>
      </w:r>
      <w:r>
        <w:rPr>
          <w:rFonts w:asciiTheme="minorEastAsia" w:hAnsiTheme="minorEastAsia" w:eastAsiaTheme="minorEastAsia" w:cstheme="minorEastAsia"/>
          <w:sz w:val="24"/>
        </w:rPr>
        <w:t>书面同意，不得以任何形式提供给其他单位或个人使用；且不得以任何形式向其他人</w:t>
      </w:r>
      <w:r>
        <w:rPr>
          <w:rFonts w:hint="eastAsia" w:asciiTheme="minorEastAsia" w:hAnsiTheme="minorEastAsia" w:eastAsiaTheme="minorEastAsia" w:cstheme="minorEastAsia"/>
          <w:sz w:val="24"/>
        </w:rPr>
        <w:t>复制</w:t>
      </w:r>
      <w:r>
        <w:rPr>
          <w:rFonts w:asciiTheme="minorEastAsia" w:hAnsiTheme="minorEastAsia" w:eastAsiaTheme="minorEastAsia" w:cstheme="minorEastAsia"/>
          <w:sz w:val="24"/>
        </w:rPr>
        <w:t>、</w:t>
      </w:r>
      <w:r>
        <w:rPr>
          <w:rFonts w:hint="eastAsia" w:asciiTheme="minorEastAsia" w:hAnsiTheme="minorEastAsia" w:eastAsiaTheme="minorEastAsia" w:cstheme="minorEastAsia"/>
          <w:sz w:val="24"/>
        </w:rPr>
        <w:t>散布</w:t>
      </w:r>
      <w:r>
        <w:rPr>
          <w:rFonts w:asciiTheme="minorEastAsia" w:hAnsiTheme="minorEastAsia" w:eastAsiaTheme="minorEastAsia" w:cstheme="minorEastAsia"/>
          <w:sz w:val="24"/>
        </w:rPr>
        <w:t>、出售、出版、广播、转播来自乙方的信息资源，由此给乙方造成的所有损失由甲方承担；</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5.6</w:t>
      </w:r>
      <w:r>
        <w:rPr>
          <w:rFonts w:hint="eastAsia" w:asciiTheme="minorEastAsia" w:hAnsiTheme="minorEastAsia" w:eastAsiaTheme="minorEastAsia" w:cstheme="minorEastAsia"/>
          <w:sz w:val="24"/>
        </w:rPr>
        <w:t>甲方</w:t>
      </w:r>
      <w:r>
        <w:rPr>
          <w:rFonts w:asciiTheme="minorEastAsia" w:hAnsiTheme="minorEastAsia" w:eastAsiaTheme="minorEastAsia" w:cstheme="minorEastAsia"/>
          <w:sz w:val="24"/>
        </w:rPr>
        <w:t>应</w:t>
      </w:r>
      <w:r>
        <w:rPr>
          <w:rFonts w:hint="eastAsia" w:asciiTheme="minorEastAsia" w:hAnsiTheme="minorEastAsia" w:eastAsiaTheme="minorEastAsia" w:cstheme="minorEastAsia"/>
          <w:sz w:val="24"/>
        </w:rPr>
        <w:t>遵守</w:t>
      </w:r>
      <w:r>
        <w:rPr>
          <w:rFonts w:asciiTheme="minorEastAsia" w:hAnsiTheme="minorEastAsia" w:eastAsiaTheme="minorEastAsia" w:cstheme="minorEastAsia"/>
          <w:sz w:val="24"/>
        </w:rPr>
        <w:t>国家有关法律法规，不得损害国家利益，不得损害乙方及其他单位和个人的合法利益</w:t>
      </w:r>
      <w:r>
        <w:rPr>
          <w:rFonts w:hint="eastAsia" w:asciiTheme="minorEastAsia" w:hAnsiTheme="minorEastAsia" w:eastAsiaTheme="minorEastAsia" w:cstheme="minorEastAsia"/>
          <w:sz w:val="24"/>
        </w:rPr>
        <w:t>。</w:t>
      </w:r>
    </w:p>
    <w:bookmarkEnd w:id="82"/>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六、乙方的权利义务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6.1乙方应保证具有履行本合同的能力。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6.2乙方应保证严格遵守有关的中国人民共和国的法律法规。  </w:t>
      </w:r>
    </w:p>
    <w:p>
      <w:pPr>
        <w:spacing w:line="5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w:t>
      </w:r>
      <w:r>
        <w:rPr>
          <w:rFonts w:asciiTheme="minorEastAsia" w:hAnsiTheme="minorEastAsia" w:eastAsiaTheme="minorEastAsia" w:cstheme="minorEastAsia"/>
          <w:sz w:val="24"/>
        </w:rPr>
        <w:t>乙方应按本合同规定的范围和方式，向甲方提供软件产品，包括甲方指定关键词的设置和更改，指定新闻、论坛、社区等重点网站的定向抓取</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6.4乙方通过其官方网站提供接受软件产品的PC和移动客户端软件，供甲方下载安装，并保证软件不存在知识产权争议</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6.5乙方应加强持续研发工作，通过对客户端等软件优化升级改善用户体验。乙方应及时通过官方网站、PC客户端、移动客户端提示升级，供甲方更新相关软件</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6.6乙方客户端软件、系统更新升级不得降低、缩小甲方依据本合同订购的软件产品功能和范围</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6.7合同期内，乙方需指定专门客服人员，随时为甲方解决咨询、指导、投诉等售后服务内容，并及时安排技术人员，为甲方提供后台支持与维护</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6.8如遇系统更新、设备升级、网络故障等突发情况，乙方需及时通知甲方，并为甲方提供必要的指导和咨询服务;若系统出现故障，乙方应于收到甲方通知后2小时内响应并提出具体解决方案，24小时内应解决问题</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6.9乙方对甲方资料负有保密义务，不得以任何形式将甲方信息泄密给其他单位或个人</w:t>
      </w:r>
      <w:r>
        <w:rPr>
          <w:rFonts w:hint="eastAsia" w:asciiTheme="minorEastAsia" w:hAnsiTheme="minorEastAsia" w:eastAsiaTheme="minorEastAsia" w:cstheme="minorEastAsia"/>
          <w:sz w:val="24"/>
        </w:rPr>
        <w:t>；</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6.10鉴于乙方系利用智能化倾向性分析技术，将根据甲方选定的关键词对乙方监控范围内的网络信息经采集、分类、整理后提供给甲方，以帮助甲方掌握相关网络舆情，乙方对该信息本身的正确性、真实性、合法性不承担任何责任，对因网络状况、通讯线路、第三方网站等非乙方过错而导致甲方不能及时、准确、全面地掌握相关网络舆情不承担任何法律责任。</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6.11乙方应按照合同约定的时间安装软件产品并通过验收。如未能按时通过验收，乙方应整改直至符合合同约定的要求，费用由乙方承担，交付期限不予顺延，乙方应承担相应的违约责任。</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6.12</w:t>
      </w:r>
      <w:r>
        <w:rPr>
          <w:rFonts w:hint="eastAsia" w:asciiTheme="minorEastAsia" w:hAnsiTheme="minorEastAsia" w:eastAsiaTheme="minorEastAsia" w:cstheme="minorEastAsia"/>
          <w:sz w:val="24"/>
        </w:rPr>
        <w:t>提供全网舆情监测系统，监测渠道包括新闻网站、论坛、博客、微博、微信等，在此基础上进行数据的抽取、挖掘、聚类和分析。用户自助在全网监测平台及手机客户端进行舆情监测和信息查看等。</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6.13</w:t>
      </w:r>
      <w:r>
        <w:rPr>
          <w:rFonts w:hint="eastAsia" w:asciiTheme="minorEastAsia" w:hAnsiTheme="minorEastAsia" w:eastAsiaTheme="minorEastAsia" w:cstheme="minorEastAsia"/>
          <w:sz w:val="24"/>
        </w:rPr>
        <w:t>汇总每周、每月区域内相关信息传播情况，包括整体趋势、媒体监测情况、周热点、舆论重点等方面，并形成报告向甲方提供。</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6.14</w:t>
      </w:r>
      <w:r>
        <w:rPr>
          <w:rFonts w:hint="eastAsia" w:asciiTheme="minorEastAsia" w:hAnsiTheme="minorEastAsia" w:eastAsiaTheme="minorEastAsia" w:cstheme="minorEastAsia"/>
          <w:sz w:val="24"/>
        </w:rPr>
        <w:t>根据系统监测结果，由舆情分析师对区域内全网数据进行半年\全年情况分析总结，形成报告向甲方提供。</w:t>
      </w:r>
    </w:p>
    <w:p>
      <w:pPr>
        <w:spacing w:line="560" w:lineRule="exact"/>
        <w:ind w:firstLine="480" w:firstLineChars="200"/>
        <w:rPr>
          <w:rFonts w:asciiTheme="minorEastAsia" w:hAnsiTheme="minorEastAsia" w:eastAsiaTheme="minorEastAsia" w:cstheme="minorEastAsia"/>
          <w:sz w:val="24"/>
        </w:rPr>
      </w:pPr>
      <w:r>
        <w:rPr>
          <w:rFonts w:asciiTheme="minorEastAsia" w:hAnsiTheme="minorEastAsia" w:eastAsiaTheme="minorEastAsia" w:cstheme="minorEastAsia"/>
          <w:sz w:val="24"/>
        </w:rPr>
        <w:t>6.15</w:t>
      </w:r>
      <w:r>
        <w:rPr>
          <w:rFonts w:hint="eastAsia" w:asciiTheme="minorEastAsia" w:hAnsiTheme="minorEastAsia" w:eastAsiaTheme="minorEastAsia" w:cstheme="minorEastAsia"/>
          <w:sz w:val="24"/>
        </w:rPr>
        <w:t>在舆情处理过程中，如有谣言产生需要发表官方申明，新浪提供通过内部快速处理通道，在微博平台上对虚假信息第一时间进行辟谣。</w:t>
      </w:r>
    </w:p>
    <w:bookmarkEnd w:id="80"/>
    <w:bookmarkEnd w:id="81"/>
    <w:p>
      <w:pPr>
        <w:spacing w:line="560" w:lineRule="exact"/>
        <w:ind w:firstLine="480" w:firstLineChars="200"/>
        <w:outlineLvl w:val="0"/>
        <w:rPr>
          <w:rFonts w:asciiTheme="minorEastAsia" w:hAnsiTheme="minorEastAsia" w:eastAsiaTheme="minorEastAsia" w:cstheme="minorEastAsia"/>
          <w:sz w:val="24"/>
        </w:rPr>
      </w:pPr>
      <w:bookmarkStart w:id="83" w:name="_Toc512624829"/>
      <w:bookmarkStart w:id="84" w:name="_Toc514094202"/>
      <w:r>
        <w:rPr>
          <w:rFonts w:hint="eastAsia" w:asciiTheme="minorEastAsia" w:hAnsiTheme="minorEastAsia" w:eastAsiaTheme="minorEastAsia" w:cstheme="minorEastAsia"/>
          <w:sz w:val="24"/>
        </w:rPr>
        <w:t>七、违约责任</w:t>
      </w:r>
      <w:bookmarkEnd w:id="83"/>
      <w:bookmarkEnd w:id="84"/>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.1由于乙方原因逾期交付正常使用或完成本合同约定的其他工作的，每逾期一天，由乙方向甲方支付合同总金额</w:t>
      </w:r>
      <w:r>
        <w:rPr>
          <w:rFonts w:asciiTheme="minorEastAsia" w:hAnsiTheme="minorEastAsia" w:eastAsiaTheme="minorEastAsia"/>
          <w:sz w:val="24"/>
        </w:rPr>
        <w:t>0.5</w:t>
      </w:r>
      <w:r>
        <w:rPr>
          <w:rFonts w:hint="eastAsia" w:asciiTheme="minorEastAsia" w:hAnsiTheme="minorEastAsia" w:eastAsiaTheme="minorEastAsia"/>
          <w:sz w:val="24"/>
        </w:rPr>
        <w:t>%的违约金，但总金额不超过10%。如逾期累计超过</w:t>
      </w:r>
      <w:r>
        <w:rPr>
          <w:rFonts w:asciiTheme="minorEastAsia" w:hAnsiTheme="minorEastAsia" w:eastAsiaTheme="minorEastAsia"/>
          <w:sz w:val="24"/>
        </w:rPr>
        <w:t>2</w:t>
      </w:r>
      <w:r>
        <w:rPr>
          <w:rFonts w:hint="eastAsia" w:asciiTheme="minorEastAsia" w:hAnsiTheme="minorEastAsia" w:eastAsiaTheme="minorEastAsia"/>
          <w:sz w:val="24"/>
        </w:rPr>
        <w:t>0天，或逾期违约金累计达合同总金额的10%，则甲方有权单方解除本合同，并由乙方赔偿由此给甲方造成的全部损失。</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.2甲方未能按合同约定如期付款，每逾期一周，由甲方支付乙方应付金额的1%的违约金，但总金额不超过10%。</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3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w:t>
      </w:r>
      <w:r>
        <w:rPr>
          <w:rFonts w:asciiTheme="minorEastAsia" w:hAnsiTheme="minorEastAsia" w:eastAsiaTheme="minorEastAsia"/>
          <w:sz w:val="24"/>
        </w:rPr>
        <w:t>4</w:t>
      </w:r>
      <w:r>
        <w:rPr>
          <w:rFonts w:hint="eastAsia" w:asciiTheme="minorEastAsia" w:hAnsiTheme="minorEastAsia" w:eastAsiaTheme="minorEastAsia"/>
          <w:sz w:val="24"/>
        </w:rPr>
        <w:t>未经甲方同意，乙方擅自解除本合同或擅自终止履行、变更本合同的，应向甲方支付本合同总金额10%的违约金，同时若给甲方造成经济损失的，违约金不足以弥补甲方损失的，乙方还应当就不足部分承担赔偿责任。</w:t>
      </w:r>
    </w:p>
    <w:p>
      <w:pPr>
        <w:spacing w:line="5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5因乙方违约导致诉讼或因乙方原因导致甲方被其他第三方诉讼而支出的全部费用由乙方承担（包括但不限于：法院诉讼或仲裁费用、保全费、保全担保费、公证费、评估费、鉴定费、律师费、公告费、差旅费等费用）。</w:t>
      </w:r>
    </w:p>
    <w:p>
      <w:pPr>
        <w:spacing w:line="560" w:lineRule="exact"/>
        <w:ind w:firstLine="480" w:firstLineChars="200"/>
        <w:outlineLvl w:val="0"/>
        <w:rPr>
          <w:rFonts w:asciiTheme="minorEastAsia" w:hAnsiTheme="minorEastAsia" w:eastAsiaTheme="minorEastAsia" w:cstheme="minorEastAsia"/>
          <w:sz w:val="24"/>
        </w:rPr>
      </w:pPr>
      <w:r>
        <w:rPr>
          <w:rFonts w:asciiTheme="minorEastAsia" w:hAnsiTheme="minorEastAsia" w:eastAsiaTheme="minorEastAsia" w:cstheme="minorEastAsia"/>
          <w:sz w:val="24"/>
        </w:rPr>
        <w:t>7.6</w:t>
      </w:r>
      <w:r>
        <w:rPr>
          <w:rFonts w:hint="eastAsia" w:asciiTheme="minorEastAsia" w:hAnsiTheme="minorEastAsia" w:eastAsiaTheme="minorEastAsia" w:cstheme="minorEastAsia"/>
          <w:sz w:val="24"/>
        </w:rPr>
        <w:t>为甲方提供舆情咨询保障和业务指导培训服务，每年培训不低于6次，年底培训完成情况作为对乙方服务评价的重要依据，未完成50%，扣除总服务费的10%。</w:t>
      </w:r>
    </w:p>
    <w:p>
      <w:pPr>
        <w:spacing w:line="560" w:lineRule="exact"/>
        <w:ind w:firstLine="480" w:firstLineChars="200"/>
        <w:outlineLvl w:val="0"/>
        <w:rPr>
          <w:rFonts w:asciiTheme="minorEastAsia" w:hAnsiTheme="minorEastAsia" w:eastAsiaTheme="minorEastAsia" w:cstheme="minorEastAsia"/>
          <w:sz w:val="24"/>
        </w:rPr>
      </w:pPr>
      <w:r>
        <w:rPr>
          <w:rFonts w:asciiTheme="minorEastAsia" w:hAnsiTheme="minorEastAsia" w:eastAsiaTheme="minorEastAsia" w:cstheme="minorEastAsia"/>
          <w:sz w:val="24"/>
        </w:rPr>
        <w:t>7.7</w:t>
      </w:r>
      <w:r>
        <w:rPr>
          <w:rFonts w:hint="eastAsia" w:asciiTheme="minorEastAsia" w:hAnsiTheme="minorEastAsia" w:eastAsiaTheme="minorEastAsia" w:cstheme="minorEastAsia"/>
          <w:sz w:val="24"/>
        </w:rPr>
        <w:t>实时进行数据监测，包括人工参与监测，将区域内发生的与甲方有关的热点事件、舆情危机隐患由人工实时进行甄别，将有价值信息第一时间提供给甲方。如出现与甲方有关的舆情热点事件，乙方未实时全网监测并提供有效数据，甲方可根据事件性质扣除服务费最高可达50%，并单方面解除合同。</w:t>
      </w:r>
    </w:p>
    <w:p>
      <w:pPr>
        <w:spacing w:line="560" w:lineRule="exact"/>
        <w:ind w:firstLine="480" w:firstLineChars="200"/>
        <w:outlineLvl w:val="0"/>
        <w:rPr>
          <w:rFonts w:asciiTheme="minorEastAsia" w:hAnsiTheme="minorEastAsia" w:eastAsiaTheme="minorEastAsia" w:cstheme="minorEastAsia"/>
          <w:sz w:val="24"/>
        </w:rPr>
      </w:pPr>
      <w:r>
        <w:rPr>
          <w:rFonts w:asciiTheme="minorEastAsia" w:hAnsiTheme="minorEastAsia" w:eastAsiaTheme="minorEastAsia" w:cstheme="minorEastAsia"/>
          <w:sz w:val="24"/>
        </w:rPr>
        <w:t>7.8</w:t>
      </w:r>
      <w:r>
        <w:rPr>
          <w:rFonts w:hint="eastAsia" w:asciiTheme="minorEastAsia" w:hAnsiTheme="minorEastAsia" w:eastAsiaTheme="minorEastAsia" w:cstheme="minorEastAsia"/>
          <w:sz w:val="24"/>
        </w:rPr>
        <w:t>监测大事件发展趋势及舆论走向；分析大事件的传播路径和核心传播用户；给危机公关提供有力数据支持，有效预防，疏导危机事件。根据对甲方舆情事件的服务情况给予评价。</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八、不可抗力</w:t>
      </w:r>
    </w:p>
    <w:p>
      <w:pPr>
        <w:spacing w:line="560" w:lineRule="exact"/>
        <w:ind w:firstLine="480" w:firstLineChars="200"/>
        <w:rPr>
          <w:rFonts w:asciiTheme="minorEastAsia" w:hAnsiTheme="minorEastAsia" w:eastAsiaTheme="minorEastAsia"/>
          <w:sz w:val="24"/>
        </w:rPr>
      </w:pPr>
      <w:bookmarkStart w:id="85" w:name="_Toc514094205"/>
      <w:bookmarkStart w:id="86" w:name="_Toc512624832"/>
      <w:r>
        <w:rPr>
          <w:rFonts w:asciiTheme="minorEastAsia" w:hAnsiTheme="minorEastAsia" w:eastAsiaTheme="minorEastAsia"/>
          <w:sz w:val="24"/>
        </w:rPr>
        <w:t>8.1</w:t>
      </w:r>
      <w:r>
        <w:rPr>
          <w:rFonts w:hint="eastAsia" w:asciiTheme="minorEastAsia" w:hAnsiTheme="minorEastAsia" w:eastAsiaTheme="minorEastAsia"/>
          <w:sz w:val="24"/>
        </w:rPr>
        <w:t>由于不可抗力因素（指火灾、地震、台风、洪水、战争等）使乙方不能在合同规定的期限内完成时，乙方必须立即以书面形式通知甲方，并以书面形式向甲方提供有关政府监管部门所出具的不可抗力因素证明。</w:t>
      </w:r>
    </w:p>
    <w:p>
      <w:pPr>
        <w:spacing w:line="560" w:lineRule="exact"/>
        <w:ind w:firstLine="480" w:firstLineChars="200"/>
        <w:rPr>
          <w:rFonts w:cs="宋体"/>
          <w:sz w:val="24"/>
        </w:rPr>
      </w:pPr>
      <w:r>
        <w:rPr>
          <w:rFonts w:asciiTheme="minorEastAsia" w:hAnsiTheme="minorEastAsia" w:eastAsiaTheme="minorEastAsia"/>
          <w:sz w:val="24"/>
        </w:rPr>
        <w:t>8.2</w:t>
      </w:r>
      <w:r>
        <w:rPr>
          <w:rFonts w:hint="eastAsia" w:asciiTheme="minorEastAsia" w:hAnsiTheme="minorEastAsia" w:eastAsiaTheme="minorEastAsia"/>
          <w:sz w:val="24"/>
        </w:rPr>
        <w:t>在不可抗力</w:t>
      </w:r>
      <w:r>
        <w:rPr>
          <w:rFonts w:hint="eastAsia" w:cs="宋体"/>
          <w:sz w:val="24"/>
        </w:rPr>
        <w:t>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bookmarkEnd w:id="85"/>
      <w:bookmarkEnd w:id="86"/>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九、通知与送达</w:t>
      </w:r>
    </w:p>
    <w:p>
      <w:pPr>
        <w:spacing w:after="60" w:line="560" w:lineRule="exact"/>
        <w:ind w:firstLine="480" w:firstLineChars="200"/>
        <w:rPr>
          <w:rFonts w:cs="宋体"/>
          <w:sz w:val="24"/>
        </w:rPr>
      </w:pPr>
      <w:r>
        <w:rPr>
          <w:rFonts w:hint="eastAsia" w:cs="宋体"/>
          <w:sz w:val="24"/>
        </w:rPr>
        <w:t xml:space="preserve">双方确认本合同内所载明的联系地址系各方有效送达地址，合同签订后联系地址发生变更的，变更一方应当在变更前3个工作日内书面通知相对方并经对方签收确认，未履行前述变更通知义务的，仍以合同所载明的联系地址为双方往来文件、通知及法院法律文书送达的有效地址，送达文件一经采用EMS发出后第3日（包括但不限于拒收、退件等）即视为有效送达，由此导致的不利后果由地址变更方承担。   </w:t>
      </w:r>
    </w:p>
    <w:p>
      <w:pPr>
        <w:spacing w:after="60" w:line="560" w:lineRule="exact"/>
        <w:ind w:firstLine="480" w:firstLineChars="200"/>
        <w:rPr>
          <w:rFonts w:cs="宋体"/>
          <w:sz w:val="24"/>
        </w:rPr>
      </w:pPr>
      <w:r>
        <w:rPr>
          <w:rFonts w:hint="eastAsia" w:cs="宋体"/>
          <w:sz w:val="24"/>
        </w:rPr>
        <w:t xml:space="preserve">（1）甲方送达地址：云南省昆明市安宁市职教园区麒麟路19号云南理工职业学院；  </w:t>
      </w:r>
    </w:p>
    <w:p>
      <w:pPr>
        <w:spacing w:after="60" w:line="560" w:lineRule="exact"/>
        <w:ind w:firstLine="480" w:firstLineChars="200"/>
        <w:rPr>
          <w:rFonts w:cs="宋体"/>
          <w:sz w:val="24"/>
        </w:rPr>
      </w:pPr>
      <w:r>
        <w:rPr>
          <w:rFonts w:hint="eastAsia" w:cs="宋体"/>
          <w:sz w:val="24"/>
        </w:rPr>
        <w:t>联系人：      ；</w:t>
      </w:r>
    </w:p>
    <w:p>
      <w:pPr>
        <w:spacing w:after="60" w:line="560" w:lineRule="exact"/>
        <w:ind w:firstLine="480" w:firstLineChars="200"/>
        <w:rPr>
          <w:rFonts w:cs="宋体"/>
          <w:sz w:val="24"/>
        </w:rPr>
      </w:pPr>
      <w:r>
        <w:rPr>
          <w:rFonts w:hint="eastAsia" w:cs="宋体"/>
          <w:sz w:val="24"/>
        </w:rPr>
        <w:t>联系电话（手机）：       。</w:t>
      </w:r>
    </w:p>
    <w:p>
      <w:pPr>
        <w:spacing w:after="60" w:line="560" w:lineRule="exact"/>
        <w:ind w:firstLine="480" w:firstLineChars="200"/>
        <w:rPr>
          <w:rFonts w:cs="宋体"/>
          <w:sz w:val="24"/>
        </w:rPr>
      </w:pPr>
      <w:r>
        <w:rPr>
          <w:rFonts w:hint="eastAsia" w:cs="宋体"/>
          <w:sz w:val="24"/>
        </w:rPr>
        <w:t xml:space="preserve">（2）乙方送达地址：                       </w:t>
      </w:r>
    </w:p>
    <w:p>
      <w:pPr>
        <w:spacing w:after="60" w:line="560" w:lineRule="exact"/>
        <w:ind w:firstLine="480" w:firstLineChars="200"/>
        <w:rPr>
          <w:rFonts w:cs="宋体"/>
          <w:sz w:val="24"/>
        </w:rPr>
      </w:pPr>
      <w:r>
        <w:rPr>
          <w:rFonts w:hint="eastAsia" w:cs="宋体"/>
          <w:sz w:val="24"/>
        </w:rPr>
        <w:t>联系人：      ；</w:t>
      </w:r>
    </w:p>
    <w:p>
      <w:pPr>
        <w:spacing w:after="60" w:line="560" w:lineRule="exact"/>
        <w:ind w:firstLine="480" w:firstLineChars="200"/>
        <w:rPr>
          <w:rFonts w:cs="宋体"/>
          <w:sz w:val="24"/>
        </w:rPr>
      </w:pPr>
      <w:r>
        <w:rPr>
          <w:rFonts w:hint="eastAsia" w:cs="宋体"/>
          <w:sz w:val="24"/>
        </w:rPr>
        <w:t>联系电话（手机）：        。</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十、争议解决</w:t>
      </w:r>
    </w:p>
    <w:p>
      <w:pPr>
        <w:spacing w:after="60" w:line="560" w:lineRule="exact"/>
        <w:ind w:firstLine="480" w:firstLineChars="200"/>
        <w:rPr>
          <w:rFonts w:cs="宋体"/>
          <w:sz w:val="24"/>
        </w:rPr>
      </w:pPr>
      <w:r>
        <w:rPr>
          <w:rFonts w:hint="eastAsia" w:cs="宋体"/>
          <w:sz w:val="24"/>
        </w:rPr>
        <w:t>凡有关本合同或执行本合同而发生的一切争执应通过双方友好协商解决，如不能解决，双方均有权向甲方所在地有管辖权的人民法院提起诉讼。合同其它部分仍继续履行。</w:t>
      </w:r>
    </w:p>
    <w:p>
      <w:pPr>
        <w:spacing w:line="560" w:lineRule="exact"/>
        <w:ind w:firstLine="480" w:firstLineChars="200"/>
        <w:outlineLvl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十二、合同生效</w:t>
      </w:r>
    </w:p>
    <w:p>
      <w:pPr>
        <w:spacing w:after="60" w:line="560" w:lineRule="exact"/>
        <w:ind w:firstLine="480" w:firstLineChars="200"/>
        <w:rPr>
          <w:rFonts w:cs="宋体"/>
          <w:sz w:val="24"/>
        </w:rPr>
      </w:pPr>
      <w:r>
        <w:rPr>
          <w:rFonts w:hint="eastAsia" w:cs="宋体"/>
          <w:sz w:val="24"/>
        </w:rPr>
        <w:t>本合同壹式</w:t>
      </w:r>
      <w:r>
        <w:rPr>
          <w:rFonts w:hint="eastAsia" w:cs="宋体"/>
          <w:sz w:val="24"/>
          <w:u w:val="single"/>
        </w:rPr>
        <w:t xml:space="preserve"> 陆 </w:t>
      </w:r>
      <w:r>
        <w:rPr>
          <w:rFonts w:hint="eastAsia" w:cs="宋体"/>
          <w:sz w:val="24"/>
        </w:rPr>
        <w:t>份，甲方持</w:t>
      </w:r>
      <w:r>
        <w:rPr>
          <w:rFonts w:hint="eastAsia" w:cs="宋体"/>
          <w:sz w:val="24"/>
          <w:u w:val="single"/>
        </w:rPr>
        <w:t xml:space="preserve"> 叁 </w:t>
      </w:r>
      <w:r>
        <w:rPr>
          <w:rFonts w:hint="eastAsia" w:cs="宋体"/>
          <w:sz w:val="24"/>
        </w:rPr>
        <w:t>份，乙方持</w:t>
      </w:r>
      <w:r>
        <w:rPr>
          <w:rFonts w:hint="eastAsia" w:cs="宋体"/>
          <w:sz w:val="24"/>
          <w:u w:val="single"/>
        </w:rPr>
        <w:t xml:space="preserve"> 叁 </w:t>
      </w:r>
      <w:r>
        <w:rPr>
          <w:rFonts w:hint="eastAsia" w:cs="宋体"/>
          <w:sz w:val="24"/>
        </w:rPr>
        <w:t>份，自双方法定代表人或授权代表签字并加盖公章之日起生效。本合同未尽事宜，双方可用补充合同的形式加以补充。补充合同与本合同具有同等法律效力。双方服务期限到期，本合同即告终止。</w:t>
      </w:r>
    </w:p>
    <w:p>
      <w:pPr>
        <w:spacing w:after="60" w:line="560" w:lineRule="exact"/>
        <w:ind w:firstLine="480" w:firstLineChars="200"/>
        <w:rPr>
          <w:rFonts w:cs="宋体"/>
          <w:sz w:val="24"/>
        </w:rPr>
      </w:pPr>
    </w:p>
    <w:p>
      <w:pPr>
        <w:spacing w:after="60" w:line="560" w:lineRule="exact"/>
        <w:ind w:firstLine="480" w:firstLineChars="200"/>
        <w:rPr>
          <w:rFonts w:cs="宋体"/>
          <w:sz w:val="24"/>
        </w:rPr>
      </w:pPr>
    </w:p>
    <w:p>
      <w:pPr>
        <w:spacing w:after="60" w:line="560" w:lineRule="exact"/>
        <w:rPr>
          <w:rFonts w:cs="宋体"/>
          <w:sz w:val="24"/>
        </w:rPr>
      </w:pPr>
      <w:r>
        <w:rPr>
          <w:rFonts w:hint="eastAsia" w:cs="宋体"/>
          <w:sz w:val="24"/>
        </w:rPr>
        <w:t>甲方（公章）：                     乙方（公章）：</w:t>
      </w:r>
    </w:p>
    <w:p>
      <w:pPr>
        <w:spacing w:after="60" w:line="560" w:lineRule="exact"/>
        <w:rPr>
          <w:rFonts w:cs="宋体"/>
          <w:sz w:val="24"/>
        </w:rPr>
      </w:pPr>
      <w:r>
        <w:rPr>
          <w:rFonts w:cs="宋体"/>
          <w:sz w:val="24"/>
        </w:rPr>
        <w:t xml:space="preserve">          </w:t>
      </w:r>
    </w:p>
    <w:p>
      <w:pPr>
        <w:spacing w:after="60" w:line="560" w:lineRule="exact"/>
        <w:rPr>
          <w:rFonts w:cs="宋体"/>
          <w:sz w:val="24"/>
        </w:rPr>
      </w:pPr>
      <w:r>
        <w:rPr>
          <w:rFonts w:hint="eastAsia" w:cs="宋体"/>
          <w:sz w:val="24"/>
        </w:rPr>
        <w:t>法定代表人：                       法定代表人：</w:t>
      </w:r>
    </w:p>
    <w:p>
      <w:pPr>
        <w:spacing w:after="60" w:line="560" w:lineRule="exact"/>
        <w:rPr>
          <w:rFonts w:cs="宋体"/>
          <w:sz w:val="24"/>
        </w:rPr>
      </w:pPr>
      <w:r>
        <w:rPr>
          <w:rFonts w:hint="eastAsia" w:cs="宋体"/>
          <w:sz w:val="24"/>
        </w:rPr>
        <w:t>委托代理人：                       委托代理人：</w:t>
      </w:r>
    </w:p>
    <w:p>
      <w:pPr>
        <w:spacing w:after="60" w:line="560" w:lineRule="exact"/>
        <w:rPr>
          <w:rFonts w:cs="宋体"/>
          <w:sz w:val="24"/>
        </w:rPr>
      </w:pPr>
      <w:r>
        <w:rPr>
          <w:rFonts w:hint="eastAsia" w:cs="宋体"/>
          <w:sz w:val="24"/>
        </w:rPr>
        <w:t>开户银行：                         开户银行：</w:t>
      </w:r>
    </w:p>
    <w:p>
      <w:pPr>
        <w:spacing w:after="60" w:line="560" w:lineRule="exact"/>
        <w:rPr>
          <w:rFonts w:cs="宋体"/>
          <w:sz w:val="24"/>
        </w:rPr>
      </w:pPr>
      <w:r>
        <w:rPr>
          <w:rFonts w:hint="eastAsia" w:cs="宋体"/>
          <w:sz w:val="24"/>
        </w:rPr>
        <w:t>账户名称：                         账户名称：</w:t>
      </w:r>
    </w:p>
    <w:p>
      <w:pPr>
        <w:spacing w:after="60" w:line="560" w:lineRule="exact"/>
        <w:rPr>
          <w:rFonts w:cs="宋体"/>
          <w:sz w:val="24"/>
        </w:rPr>
      </w:pPr>
      <w:r>
        <w:rPr>
          <w:rFonts w:hint="eastAsia" w:cs="宋体"/>
          <w:sz w:val="24"/>
        </w:rPr>
        <w:t>开户账号：                         开户账号：</w:t>
      </w:r>
    </w:p>
    <w:p>
      <w:pPr>
        <w:spacing w:after="60" w:line="560" w:lineRule="exact"/>
        <w:rPr>
          <w:rFonts w:cs="宋体" w:asciiTheme="minorEastAsia" w:hAnsiTheme="minorEastAsia" w:eastAsiaTheme="minorEastAsia"/>
          <w:sz w:val="24"/>
        </w:rPr>
      </w:pPr>
    </w:p>
    <w:p>
      <w:pPr>
        <w:spacing w:after="60" w:line="560" w:lineRule="exact"/>
        <w:rPr>
          <w:rFonts w:cs="宋体" w:asciiTheme="minorEastAsia" w:hAnsiTheme="minorEastAsia" w:eastAsiaTheme="minorEastAsia"/>
          <w:sz w:val="24"/>
        </w:rPr>
      </w:pPr>
    </w:p>
    <w:p>
      <w:pPr>
        <w:spacing w:after="60" w:line="560" w:lineRule="exact"/>
        <w:rPr>
          <w:rFonts w:cs="宋体" w:asciiTheme="minorEastAsia" w:hAnsiTheme="minorEastAsia" w:eastAsiaTheme="minorEastAsia"/>
          <w:sz w:val="24"/>
        </w:rPr>
      </w:pPr>
    </w:p>
    <w:p>
      <w:pPr>
        <w:spacing w:line="560" w:lineRule="exact"/>
        <w:ind w:firstLine="480" w:firstLineChars="200"/>
        <w:jc w:val="center"/>
        <w:rPr>
          <w:rFonts w:cs="宋体" w:asciiTheme="minorEastAsia" w:hAnsiTheme="minorEastAsia" w:eastAsiaTheme="minorEastAsia"/>
          <w:sz w:val="24"/>
        </w:rPr>
      </w:pPr>
      <w:r>
        <w:rPr>
          <w:rFonts w:hint="eastAsia" w:cs="宋体" w:asciiTheme="minorEastAsia" w:hAnsiTheme="minorEastAsia" w:eastAsiaTheme="minorEastAsia"/>
          <w:sz w:val="24"/>
        </w:rPr>
        <w:t>签订日期：2023 年 　 月  　日</w:t>
      </w:r>
    </w:p>
    <w:p>
      <w:pPr>
        <w:ind w:firstLine="560" w:firstLineChars="200"/>
        <w:rPr>
          <w:rFonts w:asciiTheme="minorEastAsia" w:hAnsiTheme="minorEastAsia" w:eastAsiaTheme="minorEastAsia"/>
          <w:sz w:val="28"/>
          <w:szCs w:val="28"/>
        </w:rPr>
      </w:pPr>
    </w:p>
    <w:p/>
    <w:p/>
    <w:p/>
    <w:p/>
    <w:p/>
    <w:p/>
    <w:p/>
    <w:p/>
    <w:p/>
    <w:p/>
    <w:p/>
    <w:p/>
    <w:p/>
    <w:p/>
    <w:p/>
    <w:p/>
    <w:p/>
    <w:p/>
    <w:bookmarkEnd w:id="69"/>
    <w:bookmarkEnd w:id="70"/>
    <w:bookmarkEnd w:id="71"/>
    <w:bookmarkEnd w:id="72"/>
    <w:bookmarkEnd w:id="73"/>
    <w:p>
      <w:pPr>
        <w:pStyle w:val="27"/>
        <w:rPr>
          <w:rFonts w:ascii="宋体" w:hAnsi="宋体"/>
        </w:rPr>
      </w:pPr>
      <w:bookmarkStart w:id="87" w:name="_Toc12476125"/>
      <w:bookmarkStart w:id="88" w:name="_Toc528311565"/>
      <w:bookmarkStart w:id="89" w:name="_Toc528154368"/>
      <w:bookmarkStart w:id="90" w:name="_Toc31234"/>
      <w:bookmarkStart w:id="91" w:name="_Toc101264860"/>
      <w:bookmarkStart w:id="92" w:name="_Toc76955306"/>
      <w:bookmarkStart w:id="93" w:name="_Toc98669734"/>
      <w:bookmarkStart w:id="94" w:name="_Toc98669376"/>
      <w:bookmarkStart w:id="95" w:name="_Toc20821551"/>
      <w:r>
        <w:rPr>
          <w:rFonts w:hint="eastAsia" w:ascii="宋体" w:hAnsi="宋体"/>
        </w:rPr>
        <w:t>第四章  投标文件格式</w:t>
      </w:r>
    </w:p>
    <w:p>
      <w:pPr>
        <w:rPr>
          <w:rFonts w:ascii="宋体" w:hAnsi="宋体"/>
          <w:b/>
          <w:sz w:val="28"/>
          <w:szCs w:val="32"/>
        </w:rPr>
      </w:pPr>
      <w:bookmarkStart w:id="96" w:name="_Toc414463507"/>
      <w:r>
        <w:rPr>
          <w:rFonts w:hint="eastAsia" w:ascii="宋体" w:hAnsi="宋体"/>
          <w:b/>
          <w:sz w:val="28"/>
          <w:szCs w:val="32"/>
        </w:rPr>
        <w:t>封面</w:t>
      </w:r>
      <w:bookmarkEnd w:id="96"/>
    </w:p>
    <w:p>
      <w:pPr>
        <w:rPr>
          <w:rFonts w:ascii="宋体" w:hAnsi="宋体"/>
          <w:b/>
          <w:sz w:val="52"/>
          <w:szCs w:val="52"/>
        </w:rPr>
      </w:pPr>
    </w:p>
    <w:p>
      <w:pPr>
        <w:spacing w:line="360" w:lineRule="auto"/>
        <w:jc w:val="center"/>
        <w:rPr>
          <w:rFonts w:ascii="宋体" w:hAnsi="宋体"/>
          <w:b/>
          <w:color w:val="000000"/>
          <w:sz w:val="52"/>
          <w:szCs w:val="52"/>
        </w:rPr>
      </w:pPr>
      <w:r>
        <w:rPr>
          <w:rFonts w:hint="eastAsia" w:ascii="宋体" w:hAnsi="宋体"/>
          <w:b/>
          <w:color w:val="000000"/>
          <w:sz w:val="52"/>
          <w:szCs w:val="52"/>
        </w:rPr>
        <w:t>云南理工职业学院有限公司</w:t>
      </w: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jc w:val="center"/>
        <w:rPr>
          <w:rFonts w:ascii="宋体" w:hAnsi="宋体"/>
          <w:b/>
          <w:sz w:val="72"/>
          <w:szCs w:val="72"/>
        </w:rPr>
      </w:pPr>
      <w:r>
        <w:rPr>
          <w:rFonts w:hint="eastAsia" w:ascii="宋体" w:hAnsi="宋体"/>
          <w:b/>
          <w:sz w:val="72"/>
          <w:szCs w:val="72"/>
        </w:rPr>
        <w:t>投标文件</w:t>
      </w:r>
    </w:p>
    <w:p>
      <w:pPr>
        <w:jc w:val="center"/>
        <w:rPr>
          <w:rFonts w:ascii="宋体" w:hAnsi="宋体"/>
          <w:b/>
          <w:sz w:val="28"/>
          <w:szCs w:val="44"/>
        </w:rPr>
      </w:pPr>
    </w:p>
    <w:p>
      <w:pPr>
        <w:jc w:val="center"/>
        <w:rPr>
          <w:rFonts w:ascii="宋体" w:hAnsi="宋体"/>
          <w:b/>
          <w:sz w:val="28"/>
          <w:szCs w:val="44"/>
          <w:u w:val="single"/>
        </w:rPr>
      </w:pPr>
      <w:r>
        <w:rPr>
          <w:rFonts w:hint="eastAsia" w:ascii="宋体" w:hAnsi="宋体"/>
          <w:b/>
          <w:sz w:val="28"/>
          <w:szCs w:val="44"/>
        </w:rPr>
        <w:t>项目编号：</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jc w:val="left"/>
        <w:rPr>
          <w:rFonts w:ascii="宋体" w:hAnsi="宋体"/>
          <w:b/>
          <w:sz w:val="44"/>
        </w:rPr>
      </w:pPr>
    </w:p>
    <w:p>
      <w:pPr>
        <w:jc w:val="left"/>
        <w:rPr>
          <w:rFonts w:ascii="宋体" w:hAnsi="宋体"/>
          <w:b/>
          <w:sz w:val="44"/>
        </w:rPr>
      </w:pPr>
    </w:p>
    <w:p>
      <w:pPr>
        <w:spacing w:line="720" w:lineRule="auto"/>
        <w:ind w:firstLine="967" w:firstLineChars="344"/>
        <w:rPr>
          <w:rFonts w:ascii="宋体" w:hAnsi="宋体"/>
          <w:b/>
          <w:sz w:val="28"/>
          <w:u w:val="single"/>
        </w:rPr>
      </w:pPr>
      <w:r>
        <w:rPr>
          <w:rFonts w:hint="eastAsia" w:ascii="宋体" w:hAnsi="宋体"/>
          <w:b/>
          <w:sz w:val="28"/>
        </w:rPr>
        <w:t>投标人：</w:t>
      </w:r>
      <w:r>
        <w:rPr>
          <w:rFonts w:hint="eastAsia" w:ascii="宋体" w:hAnsi="宋体"/>
          <w:b/>
          <w:sz w:val="28"/>
          <w:u w:val="single"/>
        </w:rPr>
        <w:t xml:space="preserve">                                 （盖公章）</w:t>
      </w:r>
    </w:p>
    <w:p>
      <w:pPr>
        <w:spacing w:line="720" w:lineRule="auto"/>
        <w:ind w:firstLine="967" w:firstLineChars="344"/>
        <w:rPr>
          <w:rFonts w:ascii="宋体" w:hAnsi="宋体"/>
          <w:b/>
          <w:sz w:val="28"/>
          <w:u w:val="single"/>
        </w:rPr>
      </w:pPr>
      <w:r>
        <w:rPr>
          <w:rFonts w:hint="eastAsia" w:ascii="宋体" w:hAnsi="宋体"/>
          <w:b/>
          <w:sz w:val="28"/>
        </w:rPr>
        <w:t>法定代表人或授权代理人：</w:t>
      </w:r>
      <w:r>
        <w:rPr>
          <w:rFonts w:hint="eastAsia" w:ascii="宋体" w:hAnsi="宋体"/>
          <w:b/>
          <w:sz w:val="28"/>
          <w:u w:val="single"/>
        </w:rPr>
        <w:t xml:space="preserve">              （签字或盖章）</w:t>
      </w:r>
    </w:p>
    <w:p>
      <w:pPr>
        <w:jc w:val="center"/>
        <w:rPr>
          <w:rFonts w:ascii="宋体" w:hAnsi="宋体"/>
          <w:b/>
          <w:sz w:val="28"/>
        </w:rPr>
      </w:pPr>
      <w:r>
        <w:rPr>
          <w:rFonts w:hint="eastAsia" w:ascii="宋体" w:hAnsi="宋体"/>
          <w:b/>
          <w:sz w:val="28"/>
        </w:rPr>
        <w:t xml:space="preserve">   年</w:t>
      </w:r>
      <w:r>
        <w:rPr>
          <w:rFonts w:ascii="宋体" w:hAnsi="宋体"/>
          <w:b/>
          <w:sz w:val="28"/>
        </w:rPr>
        <w:t xml:space="preserve">    </w:t>
      </w:r>
      <w:r>
        <w:rPr>
          <w:rFonts w:hint="eastAsia" w:ascii="宋体" w:hAnsi="宋体"/>
          <w:b/>
          <w:sz w:val="28"/>
        </w:rPr>
        <w:t>月</w:t>
      </w:r>
      <w:r>
        <w:rPr>
          <w:rFonts w:ascii="宋体" w:hAnsi="宋体"/>
          <w:b/>
          <w:sz w:val="28"/>
        </w:rPr>
        <w:t xml:space="preserve">    </w:t>
      </w:r>
      <w:r>
        <w:rPr>
          <w:rFonts w:hint="eastAsia" w:ascii="宋体" w:hAnsi="宋体"/>
          <w:b/>
          <w:sz w:val="28"/>
        </w:rPr>
        <w:t>日</w:t>
      </w:r>
    </w:p>
    <w:p>
      <w:pPr>
        <w:jc w:val="center"/>
        <w:outlineLvl w:val="1"/>
        <w:rPr>
          <w:rFonts w:ascii="宋体" w:hAnsi="宋体"/>
          <w:b/>
          <w:sz w:val="32"/>
        </w:rPr>
      </w:pPr>
      <w:r>
        <w:rPr>
          <w:rFonts w:ascii="宋体" w:hAnsi="宋体"/>
          <w:sz w:val="28"/>
        </w:rPr>
        <w:br w:type="page"/>
      </w:r>
      <w:bookmarkStart w:id="97" w:name="_Toc4997"/>
      <w:bookmarkStart w:id="98" w:name="_Toc12476123"/>
      <w:bookmarkStart w:id="99" w:name="_Toc528154366"/>
      <w:bookmarkStart w:id="100" w:name="_Toc425235651"/>
      <w:bookmarkStart w:id="101" w:name="_Toc423965490"/>
      <w:bookmarkStart w:id="102" w:name="_Toc414463508"/>
      <w:bookmarkStart w:id="103" w:name="_Toc528311563"/>
      <w:r>
        <w:rPr>
          <w:rFonts w:hint="eastAsia" w:ascii="宋体" w:hAnsi="宋体"/>
          <w:b/>
          <w:sz w:val="32"/>
        </w:rPr>
        <w:t xml:space="preserve">目 </w:t>
      </w:r>
      <w:r>
        <w:rPr>
          <w:rFonts w:ascii="宋体" w:hAnsi="宋体"/>
          <w:b/>
          <w:sz w:val="32"/>
        </w:rPr>
        <w:t xml:space="preserve"> </w:t>
      </w:r>
      <w:r>
        <w:rPr>
          <w:rFonts w:hint="eastAsia" w:ascii="宋体" w:hAnsi="宋体"/>
          <w:b/>
          <w:sz w:val="32"/>
        </w:rPr>
        <w:t>录</w:t>
      </w:r>
      <w:bookmarkEnd w:id="97"/>
      <w:bookmarkEnd w:id="98"/>
      <w:bookmarkEnd w:id="99"/>
      <w:bookmarkEnd w:id="100"/>
      <w:bookmarkEnd w:id="101"/>
      <w:bookmarkEnd w:id="102"/>
      <w:bookmarkEnd w:id="103"/>
    </w:p>
    <w:p>
      <w:pPr>
        <w:rPr>
          <w:rFonts w:ascii="宋体" w:hAnsi="宋体"/>
          <w:sz w:val="28"/>
        </w:rPr>
      </w:pPr>
    </w:p>
    <w:p>
      <w:pPr>
        <w:numPr>
          <w:ilvl w:val="0"/>
          <w:numId w:val="3"/>
        </w:numPr>
        <w:spacing w:line="360" w:lineRule="auto"/>
        <w:rPr>
          <w:rFonts w:ascii="宋体" w:hAnsi="宋体"/>
          <w:sz w:val="24"/>
        </w:rPr>
      </w:pPr>
      <w:r>
        <w:rPr>
          <w:rFonts w:hint="eastAsia" w:ascii="宋体" w:hAnsi="宋体"/>
          <w:sz w:val="24"/>
        </w:rPr>
        <w:t>投标函</w:t>
      </w:r>
    </w:p>
    <w:p>
      <w:pPr>
        <w:numPr>
          <w:ilvl w:val="0"/>
          <w:numId w:val="3"/>
        </w:numPr>
        <w:spacing w:line="360" w:lineRule="auto"/>
        <w:rPr>
          <w:rFonts w:ascii="宋体" w:hAnsi="宋体"/>
          <w:sz w:val="24"/>
        </w:rPr>
      </w:pPr>
      <w:r>
        <w:rPr>
          <w:rFonts w:hint="eastAsia" w:ascii="宋体" w:hAnsi="宋体"/>
          <w:sz w:val="24"/>
        </w:rPr>
        <w:t>法定代表人身份证明书</w:t>
      </w:r>
    </w:p>
    <w:p>
      <w:pPr>
        <w:numPr>
          <w:ilvl w:val="0"/>
          <w:numId w:val="3"/>
        </w:numPr>
        <w:spacing w:line="360" w:lineRule="auto"/>
        <w:rPr>
          <w:rFonts w:ascii="宋体" w:hAnsi="宋体"/>
          <w:sz w:val="24"/>
        </w:rPr>
      </w:pPr>
      <w:r>
        <w:rPr>
          <w:rFonts w:hint="eastAsia" w:ascii="宋体" w:hAnsi="宋体"/>
          <w:sz w:val="24"/>
        </w:rPr>
        <w:t>法定代表人授权委托书</w:t>
      </w:r>
    </w:p>
    <w:p>
      <w:pPr>
        <w:numPr>
          <w:ilvl w:val="0"/>
          <w:numId w:val="3"/>
        </w:numPr>
        <w:spacing w:line="360" w:lineRule="auto"/>
        <w:rPr>
          <w:rFonts w:ascii="宋体" w:hAnsi="宋体"/>
          <w:sz w:val="24"/>
        </w:rPr>
      </w:pPr>
      <w:r>
        <w:rPr>
          <w:rFonts w:hint="eastAsia" w:ascii="宋体" w:hAnsi="宋体"/>
          <w:sz w:val="24"/>
        </w:rPr>
        <w:t>质量、工期及服务承诺</w:t>
      </w:r>
    </w:p>
    <w:p>
      <w:pPr>
        <w:spacing w:line="360" w:lineRule="auto"/>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)资格证明材料</w:t>
      </w:r>
    </w:p>
    <w:p>
      <w:pPr>
        <w:spacing w:line="360" w:lineRule="auto"/>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)其他</w:t>
      </w:r>
    </w:p>
    <w:p>
      <w:pPr>
        <w:spacing w:line="360" w:lineRule="auto"/>
        <w:rPr>
          <w:rFonts w:ascii="宋体" w:hAnsi="宋体"/>
          <w:sz w:val="28"/>
        </w:rPr>
      </w:pPr>
    </w:p>
    <w:p>
      <w:pPr>
        <w:spacing w:line="360" w:lineRule="auto"/>
        <w:rPr>
          <w:rFonts w:ascii="宋体" w:hAnsi="宋体"/>
          <w:sz w:val="28"/>
        </w:rPr>
      </w:pPr>
    </w:p>
    <w:p>
      <w:pPr>
        <w:spacing w:line="360" w:lineRule="auto"/>
        <w:rPr>
          <w:rFonts w:ascii="宋体" w:hAnsi="宋体"/>
          <w:sz w:val="28"/>
        </w:rPr>
      </w:pPr>
    </w:p>
    <w:p>
      <w:pPr>
        <w:spacing w:line="360" w:lineRule="auto"/>
        <w:jc w:val="center"/>
        <w:outlineLvl w:val="1"/>
        <w:rPr>
          <w:rFonts w:ascii="宋体" w:hAnsi="宋体"/>
          <w:b/>
          <w:sz w:val="28"/>
        </w:rPr>
      </w:pPr>
      <w:r>
        <w:rPr>
          <w:rFonts w:ascii="宋体" w:hAnsi="宋体"/>
          <w:sz w:val="32"/>
        </w:rPr>
        <w:br w:type="page"/>
      </w:r>
      <w:bookmarkStart w:id="104" w:name="_Toc414463509"/>
      <w:bookmarkStart w:id="105" w:name="_Toc528311564"/>
      <w:bookmarkStart w:id="106" w:name="_Toc12476124"/>
      <w:bookmarkStart w:id="107" w:name="_Toc528154367"/>
      <w:bookmarkStart w:id="108" w:name="_Toc26383"/>
      <w:r>
        <w:rPr>
          <w:rFonts w:hint="eastAsia" w:ascii="宋体" w:hAnsi="宋体"/>
          <w:sz w:val="32"/>
        </w:rPr>
        <w:t>一</w:t>
      </w:r>
      <w:r>
        <w:rPr>
          <w:rFonts w:hint="eastAsia" w:ascii="宋体" w:hAnsi="宋体"/>
          <w:b/>
          <w:sz w:val="28"/>
        </w:rPr>
        <w:t>、投标函</w:t>
      </w:r>
      <w:bookmarkEnd w:id="104"/>
      <w:bookmarkEnd w:id="105"/>
      <w:bookmarkEnd w:id="106"/>
      <w:bookmarkEnd w:id="107"/>
      <w:bookmarkEnd w:id="108"/>
    </w:p>
    <w:p>
      <w:pPr>
        <w:spacing w:line="360" w:lineRule="auto"/>
        <w:rPr>
          <w:rFonts w:ascii="宋体" w:hAnsi="宋体"/>
          <w:sz w:val="28"/>
        </w:rPr>
      </w:pPr>
    </w:p>
    <w:p>
      <w:pPr>
        <w:rPr>
          <w:rFonts w:ascii="宋体" w:hAnsi="宋体"/>
          <w:sz w:val="24"/>
        </w:rPr>
      </w:pPr>
      <w:r>
        <w:rPr>
          <w:rFonts w:hint="eastAsia" w:ascii="宋体" w:hAnsi="宋体"/>
          <w:sz w:val="24"/>
        </w:rPr>
        <w:t>致：</w:t>
      </w:r>
      <w:r>
        <w:rPr>
          <w:rFonts w:ascii="宋体" w:hAnsi="宋体"/>
          <w:sz w:val="24"/>
          <w:u w:val="single"/>
        </w:rPr>
        <w:t xml:space="preserve">   </w:t>
      </w:r>
      <w:r>
        <w:rPr>
          <w:rFonts w:hint="eastAsia" w:ascii="宋体" w:hAnsi="宋体"/>
          <w:sz w:val="24"/>
          <w:u w:val="single"/>
        </w:rPr>
        <w:t>{招标人名称}</w:t>
      </w:r>
      <w:r>
        <w:rPr>
          <w:rFonts w:ascii="宋体" w:hAnsi="宋体"/>
          <w:sz w:val="24"/>
          <w:u w:val="single"/>
        </w:rPr>
        <w:t xml:space="preserve">   </w:t>
      </w:r>
    </w:p>
    <w:p>
      <w:pPr>
        <w:rPr>
          <w:rFonts w:ascii="宋体" w:hAnsi="宋体"/>
          <w:sz w:val="24"/>
        </w:rPr>
      </w:pPr>
    </w:p>
    <w:p>
      <w:pPr>
        <w:spacing w:line="360" w:lineRule="auto"/>
        <w:ind w:firstLine="480"/>
        <w:rPr>
          <w:rFonts w:ascii="宋体" w:hAnsi="宋体" w:cs="仿宋"/>
          <w:sz w:val="24"/>
        </w:rPr>
      </w:pPr>
      <w:r>
        <w:rPr>
          <w:rFonts w:hint="eastAsia" w:ascii="宋体" w:hAnsi="宋体" w:cs="仿宋"/>
          <w:sz w:val="24"/>
        </w:rPr>
        <w:t>在考察现场并充分研究</w:t>
      </w:r>
      <w:r>
        <w:rPr>
          <w:rFonts w:hint="eastAsia" w:ascii="宋体" w:hAnsi="宋体" w:cs="仿宋"/>
          <w:sz w:val="24"/>
          <w:u w:val="single"/>
        </w:rPr>
        <w:t xml:space="preserve">                 </w:t>
      </w:r>
      <w:r>
        <w:rPr>
          <w:rFonts w:hint="eastAsia" w:ascii="宋体" w:hAnsi="宋体" w:cs="仿宋"/>
          <w:sz w:val="24"/>
        </w:rPr>
        <w:t>（项目名称、标段号）招标文件的全部内容后，我方愿以人民币含税价（大写）：</w:t>
      </w:r>
      <w:r>
        <w:rPr>
          <w:rFonts w:hint="eastAsia" w:ascii="宋体" w:hAnsi="宋体" w:cs="仿宋"/>
          <w:sz w:val="24"/>
          <w:u w:val="single"/>
        </w:rPr>
        <w:t xml:space="preserve">      </w:t>
      </w:r>
      <w:r>
        <w:rPr>
          <w:rFonts w:hint="eastAsia" w:ascii="宋体" w:hAnsi="宋体" w:cs="仿宋"/>
          <w:sz w:val="24"/>
        </w:rPr>
        <w:t>元/年（RMB￥：</w:t>
      </w:r>
      <w:r>
        <w:rPr>
          <w:rFonts w:hint="eastAsia" w:ascii="宋体" w:hAnsi="宋体" w:cs="仿宋"/>
          <w:sz w:val="24"/>
          <w:u w:val="single"/>
        </w:rPr>
        <w:t xml:space="preserve">      </w:t>
      </w:r>
      <w:r>
        <w:rPr>
          <w:rFonts w:hint="eastAsia" w:ascii="宋体" w:hAnsi="宋体" w:cs="仿宋"/>
          <w:sz w:val="24"/>
        </w:rPr>
        <w:t>元/年），服务期限</w:t>
      </w:r>
      <w:r>
        <w:rPr>
          <w:rFonts w:ascii="宋体" w:hAnsi="宋体" w:cs="仿宋"/>
          <w:sz w:val="24"/>
        </w:rPr>
        <w:t>为</w:t>
      </w:r>
      <w:r>
        <w:rPr>
          <w:rFonts w:hint="eastAsia" w:ascii="宋体" w:hAnsi="宋体" w:cs="仿宋"/>
          <w:sz w:val="24"/>
        </w:rPr>
        <w:t>3年</w:t>
      </w:r>
      <w:r>
        <w:rPr>
          <w:rFonts w:ascii="宋体" w:hAnsi="宋体" w:cs="仿宋"/>
          <w:sz w:val="24"/>
        </w:rPr>
        <w:t>，总价为</w:t>
      </w:r>
      <w:r>
        <w:rPr>
          <w:rFonts w:hint="eastAsia" w:ascii="宋体" w:hAnsi="宋体" w:cs="仿宋"/>
          <w:sz w:val="24"/>
        </w:rPr>
        <w:t>含税价（大写）：</w:t>
      </w:r>
      <w:r>
        <w:rPr>
          <w:rFonts w:hint="eastAsia" w:ascii="宋体" w:hAnsi="宋体" w:cs="仿宋"/>
          <w:sz w:val="24"/>
          <w:u w:val="single"/>
        </w:rPr>
        <w:t xml:space="preserve">      </w:t>
      </w:r>
      <w:r>
        <w:rPr>
          <w:rFonts w:hint="eastAsia" w:ascii="宋体" w:hAnsi="宋体" w:cs="仿宋"/>
          <w:sz w:val="24"/>
        </w:rPr>
        <w:t>元（RMB￥：</w:t>
      </w:r>
      <w:r>
        <w:rPr>
          <w:rFonts w:hint="eastAsia" w:ascii="宋体" w:hAnsi="宋体" w:cs="仿宋"/>
          <w:sz w:val="24"/>
          <w:u w:val="single"/>
        </w:rPr>
        <w:t xml:space="preserve">      </w:t>
      </w:r>
      <w:r>
        <w:rPr>
          <w:rFonts w:hint="eastAsia" w:ascii="宋体" w:hAnsi="宋体" w:cs="仿宋"/>
          <w:sz w:val="24"/>
        </w:rPr>
        <w:t>元），税率为</w:t>
      </w:r>
      <w:r>
        <w:rPr>
          <w:rFonts w:hint="eastAsia" w:ascii="宋体" w:hAnsi="宋体" w:cs="仿宋"/>
          <w:sz w:val="24"/>
          <w:u w:val="single"/>
        </w:rPr>
        <w:t xml:space="preserve">    %</w:t>
      </w:r>
      <w:r>
        <w:rPr>
          <w:rFonts w:hint="eastAsia" w:ascii="宋体" w:hAnsi="宋体" w:cs="仿宋"/>
          <w:sz w:val="24"/>
        </w:rPr>
        <w:t>；的投标报价（暂定价）承包上述项目的所有服务内容，并严格按照合同约定，承担任何质量缺陷保修责任。</w:t>
      </w:r>
    </w:p>
    <w:p>
      <w:pPr>
        <w:spacing w:line="360" w:lineRule="auto"/>
        <w:ind w:firstLine="480"/>
        <w:rPr>
          <w:rFonts w:ascii="宋体" w:hAnsi="宋体" w:cs="仿宋"/>
          <w:sz w:val="24"/>
        </w:rPr>
      </w:pPr>
      <w:r>
        <w:rPr>
          <w:rFonts w:hint="eastAsia" w:ascii="宋体" w:hAnsi="宋体" w:cs="仿宋"/>
          <w:sz w:val="24"/>
        </w:rPr>
        <w:t>工期承诺：合同签订后</w:t>
      </w:r>
      <w:r>
        <w:rPr>
          <w:rFonts w:hint="eastAsia" w:ascii="宋体" w:hAnsi="宋体" w:cs="仿宋"/>
          <w:sz w:val="24"/>
          <w:u w:val="single"/>
        </w:rPr>
        <w:t xml:space="preserve">     </w:t>
      </w:r>
      <w:r>
        <w:rPr>
          <w:rFonts w:hint="eastAsia" w:ascii="宋体" w:hAnsi="宋体" w:cs="仿宋"/>
          <w:sz w:val="24"/>
        </w:rPr>
        <w:t>日历天内完成；</w:t>
      </w:r>
    </w:p>
    <w:p>
      <w:pPr>
        <w:spacing w:line="360" w:lineRule="auto"/>
        <w:ind w:firstLine="480"/>
        <w:rPr>
          <w:rFonts w:ascii="宋体" w:hAnsi="宋体" w:cs="仿宋"/>
          <w:sz w:val="24"/>
        </w:rPr>
      </w:pPr>
      <w:r>
        <w:rPr>
          <w:rFonts w:hint="eastAsia" w:ascii="宋体" w:hAnsi="宋体" w:cs="仿宋"/>
          <w:sz w:val="24"/>
        </w:rPr>
        <w:t>质量承诺：</w:t>
      </w:r>
      <w:r>
        <w:rPr>
          <w:rFonts w:hint="eastAsia" w:ascii="宋体" w:hAnsi="宋体" w:cs="仿宋"/>
          <w:sz w:val="24"/>
          <w:u w:val="single"/>
        </w:rPr>
        <w:t xml:space="preserve">                    </w:t>
      </w:r>
      <w:r>
        <w:rPr>
          <w:rFonts w:hint="eastAsia" w:ascii="宋体" w:hAnsi="宋体" w:cs="仿宋"/>
          <w:sz w:val="24"/>
        </w:rPr>
        <w:t>。</w:t>
      </w:r>
    </w:p>
    <w:p>
      <w:pPr>
        <w:spacing w:line="360" w:lineRule="auto"/>
        <w:ind w:firstLine="480"/>
        <w:rPr>
          <w:rFonts w:ascii="宋体" w:hAnsi="宋体" w:cs="仿宋"/>
          <w:sz w:val="24"/>
        </w:rPr>
      </w:pPr>
      <w:r>
        <w:rPr>
          <w:rFonts w:hint="eastAsia" w:ascii="宋体" w:hAnsi="宋体" w:cs="仿宋"/>
          <w:sz w:val="24"/>
        </w:rPr>
        <w:t>我方同意本投标函在招标文件规定的提交投标文件截止时间后，在招标文件规定的投标有效期期满前对我方具有约束力，且随时准备接受你方发出的中标通知书。</w:t>
      </w:r>
    </w:p>
    <w:p>
      <w:pPr>
        <w:spacing w:line="360" w:lineRule="auto"/>
        <w:ind w:firstLine="490"/>
        <w:rPr>
          <w:rFonts w:ascii="宋体" w:hAnsi="宋体"/>
          <w:sz w:val="24"/>
        </w:rPr>
      </w:pPr>
      <w:r>
        <w:rPr>
          <w:rFonts w:hint="eastAsia" w:ascii="宋体" w:hAnsi="宋体" w:cs="仿宋"/>
          <w:sz w:val="24"/>
        </w:rPr>
        <w:t>在签署协议书之前，你方的中标通知书连同本投标函，对双方具有约束力。</w:t>
      </w:r>
      <w:r>
        <w:rPr>
          <w:rFonts w:hint="eastAsia" w:ascii="宋体" w:hAnsi="宋体" w:cs="宋体"/>
          <w:sz w:val="24"/>
        </w:rPr>
        <w:t xml:space="preserve">                                           </w:t>
      </w: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（盖章）</w:t>
      </w: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法定代表人或其授权代理人：</w:t>
      </w:r>
      <w:r>
        <w:rPr>
          <w:rFonts w:hint="eastAsia" w:ascii="宋体" w:hAnsi="宋体"/>
          <w:sz w:val="24"/>
          <w:u w:val="single"/>
        </w:rPr>
        <w:t xml:space="preserve">                </w:t>
      </w:r>
      <w:r>
        <w:rPr>
          <w:rFonts w:hint="eastAsia" w:ascii="宋体" w:hAnsi="宋体"/>
          <w:sz w:val="24"/>
        </w:rPr>
        <w:t>（签字或盖章）</w:t>
      </w:r>
    </w:p>
    <w:p>
      <w:pPr>
        <w:spacing w:line="276" w:lineRule="auto"/>
        <w:ind w:firstLine="480" w:firstLineChars="200"/>
        <w:rPr>
          <w:rFonts w:ascii="宋体" w:hAnsi="宋体"/>
          <w:sz w:val="24"/>
        </w:rPr>
      </w:pPr>
    </w:p>
    <w:p>
      <w:pPr>
        <w:spacing w:line="276" w:lineRule="auto"/>
        <w:rPr>
          <w:rFonts w:ascii="宋体" w:hAnsi="宋体"/>
          <w:sz w:val="24"/>
        </w:rPr>
      </w:pPr>
      <w:r>
        <w:rPr>
          <w:rFonts w:hint="eastAsia"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276" w:lineRule="auto"/>
        <w:ind w:firstLine="560" w:firstLineChars="200"/>
        <w:rPr>
          <w:rFonts w:ascii="宋体" w:hAnsi="宋体"/>
          <w:sz w:val="28"/>
        </w:rPr>
      </w:pPr>
    </w:p>
    <w:p>
      <w:pPr>
        <w:spacing w:line="276" w:lineRule="auto"/>
        <w:ind w:firstLine="560" w:firstLineChars="200"/>
        <w:rPr>
          <w:rFonts w:ascii="宋体" w:hAnsi="宋体"/>
          <w:sz w:val="28"/>
        </w:rPr>
      </w:pPr>
    </w:p>
    <w:p>
      <w:pPr>
        <w:spacing w:line="276" w:lineRule="auto"/>
        <w:ind w:firstLine="560" w:firstLineChars="200"/>
        <w:rPr>
          <w:rFonts w:ascii="宋体" w:hAnsi="宋体"/>
          <w:sz w:val="28"/>
        </w:rPr>
      </w:pPr>
    </w:p>
    <w:p>
      <w:pPr>
        <w:spacing w:line="360" w:lineRule="auto"/>
        <w:outlineLvl w:val="1"/>
        <w:rPr>
          <w:rFonts w:ascii="宋体" w:hAnsi="宋体"/>
          <w:b/>
          <w:sz w:val="28"/>
        </w:rPr>
      </w:pPr>
      <w:r>
        <w:rPr>
          <w:rFonts w:hint="eastAsia" w:ascii="宋体" w:hAnsi="宋体"/>
          <w:b/>
          <w:sz w:val="28"/>
        </w:rPr>
        <w:br w:type="page"/>
      </w:r>
      <w:bookmarkEnd w:id="87"/>
      <w:bookmarkEnd w:id="88"/>
      <w:bookmarkEnd w:id="89"/>
      <w:bookmarkStart w:id="109" w:name="_Toc528154374"/>
      <w:bookmarkStart w:id="110" w:name="_Toc528311571"/>
      <w:bookmarkStart w:id="111" w:name="_Toc12476131"/>
    </w:p>
    <w:p>
      <w:pPr>
        <w:spacing w:line="360" w:lineRule="auto"/>
        <w:jc w:val="center"/>
        <w:outlineLvl w:val="1"/>
        <w:rPr>
          <w:rFonts w:ascii="宋体" w:hAnsi="宋体"/>
          <w:b/>
          <w:sz w:val="28"/>
        </w:rPr>
      </w:pPr>
      <w:r>
        <w:rPr>
          <w:rFonts w:hint="eastAsia" w:ascii="宋体" w:hAnsi="宋体"/>
          <w:b/>
          <w:sz w:val="28"/>
        </w:rPr>
        <w:t>二、法定代表人身份证明书</w:t>
      </w:r>
      <w:bookmarkEnd w:id="90"/>
      <w:bookmarkEnd w:id="109"/>
      <w:bookmarkEnd w:id="110"/>
      <w:bookmarkEnd w:id="111"/>
    </w:p>
    <w:p>
      <w:pPr>
        <w:pStyle w:val="25"/>
        <w:spacing w:line="360" w:lineRule="auto"/>
      </w:pPr>
    </w:p>
    <w:p>
      <w:pPr>
        <w:spacing w:line="480" w:lineRule="auto"/>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地</w:t>
      </w:r>
      <w:r>
        <w:rPr>
          <w:rFonts w:ascii="宋体" w:hAnsi="宋体"/>
          <w:sz w:val="24"/>
        </w:rPr>
        <w:t xml:space="preserve">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rPr>
      </w:pPr>
      <w:r>
        <w:rPr>
          <w:rFonts w:hint="eastAsia" w:ascii="宋体" w:hAnsi="宋体"/>
          <w:sz w:val="24"/>
        </w:rPr>
        <w:t>成立时间年月日</w:t>
      </w:r>
    </w:p>
    <w:p>
      <w:pPr>
        <w:spacing w:line="480" w:lineRule="auto"/>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u w:val="single"/>
        </w:rPr>
      </w:pPr>
      <w:r>
        <w:rPr>
          <w:rFonts w:hint="eastAsia" w:ascii="宋体" w:hAnsi="宋体"/>
          <w:sz w:val="24"/>
        </w:rPr>
        <w:t>姓</w:t>
      </w:r>
      <w:r>
        <w:rPr>
          <w:rFonts w:ascii="宋体" w:hAnsi="宋体"/>
          <w:sz w:val="24"/>
        </w:rPr>
        <w:t xml:space="preserve">    名： 性别：年龄： 职务：</w:t>
      </w:r>
      <w:r>
        <w:rPr>
          <w:rFonts w:hint="eastAsia" w:ascii="宋体" w:hAnsi="宋体"/>
          <w:sz w:val="24"/>
          <w:u w:val="single"/>
        </w:rPr>
        <w:tab/>
      </w:r>
      <w:r>
        <w:rPr>
          <w:rFonts w:hint="eastAsia" w:ascii="宋体" w:hAnsi="宋体"/>
          <w:sz w:val="24"/>
          <w:u w:val="single"/>
        </w:rPr>
        <w:tab/>
      </w:r>
    </w:p>
    <w:p>
      <w:pPr>
        <w:spacing w:line="480" w:lineRule="auto"/>
        <w:ind w:firstLine="610"/>
        <w:rPr>
          <w:rFonts w:ascii="宋体" w:hAnsi="宋体"/>
          <w:sz w:val="24"/>
        </w:rPr>
      </w:pPr>
      <w:r>
        <w:rPr>
          <w:rFonts w:hint="eastAsia" w:ascii="宋体" w:hAnsi="宋体"/>
          <w:sz w:val="24"/>
        </w:rPr>
        <w:t>系</w:t>
      </w:r>
      <w:r>
        <w:rPr>
          <w:rFonts w:ascii="宋体" w:hAnsi="宋体"/>
          <w:sz w:val="24"/>
          <w:u w:val="single"/>
        </w:rPr>
        <w:t xml:space="preserve">     （投标人单位名称）         </w:t>
      </w:r>
      <w:r>
        <w:rPr>
          <w:rFonts w:hint="eastAsia" w:ascii="宋体" w:hAnsi="宋体"/>
          <w:sz w:val="24"/>
        </w:rPr>
        <w:t>的法定代表人。</w:t>
      </w:r>
    </w:p>
    <w:p>
      <w:pPr>
        <w:spacing w:line="480" w:lineRule="auto"/>
        <w:ind w:firstLine="610"/>
        <w:rPr>
          <w:rFonts w:ascii="宋体" w:hAnsi="宋体"/>
          <w:sz w:val="24"/>
        </w:rPr>
      </w:pPr>
      <w:r>
        <w:rPr>
          <w:rFonts w:hint="eastAsia" w:ascii="宋体" w:hAnsi="宋体"/>
          <w:sz w:val="24"/>
        </w:rPr>
        <w:t>特此证明。</w:t>
      </w:r>
    </w:p>
    <w:p>
      <w:pPr>
        <w:tabs>
          <w:tab w:val="left" w:pos="720"/>
          <w:tab w:val="left" w:pos="900"/>
        </w:tabs>
        <w:spacing w:line="480" w:lineRule="auto"/>
        <w:ind w:firstLine="4560" w:firstLineChars="1900"/>
        <w:rPr>
          <w:rFonts w:ascii="宋体" w:hAnsi="宋体"/>
          <w:sz w:val="24"/>
        </w:rPr>
      </w:pPr>
    </w:p>
    <w:p>
      <w:pPr>
        <w:tabs>
          <w:tab w:val="left" w:pos="720"/>
          <w:tab w:val="left" w:pos="900"/>
        </w:tabs>
        <w:spacing w:line="480" w:lineRule="auto"/>
        <w:ind w:firstLine="720" w:firstLineChars="300"/>
        <w:rPr>
          <w:rFonts w:ascii="宋体" w:hAnsi="宋体"/>
          <w:sz w:val="24"/>
        </w:rPr>
      </w:pPr>
    </w:p>
    <w:p>
      <w:pPr>
        <w:tabs>
          <w:tab w:val="left" w:pos="720"/>
          <w:tab w:val="left" w:pos="900"/>
        </w:tabs>
        <w:spacing w:line="480" w:lineRule="auto"/>
        <w:ind w:firstLine="720" w:firstLineChars="300"/>
        <w:rPr>
          <w:rFonts w:ascii="宋体" w:hAnsi="宋体"/>
          <w:sz w:val="24"/>
          <w:u w:val="single"/>
        </w:rPr>
      </w:pPr>
      <w:r>
        <w:rPr>
          <w:rFonts w:hint="eastAsia" w:ascii="宋体" w:hAnsi="宋体"/>
          <w:sz w:val="24"/>
        </w:rPr>
        <w:t>投标人：（盖章）</w:t>
      </w:r>
    </w:p>
    <w:p>
      <w:pPr>
        <w:tabs>
          <w:tab w:val="left" w:pos="720"/>
          <w:tab w:val="left" w:pos="900"/>
        </w:tabs>
        <w:spacing w:line="480" w:lineRule="auto"/>
        <w:ind w:firstLine="720" w:firstLineChars="300"/>
        <w:rPr>
          <w:rFonts w:ascii="宋体" w:hAnsi="宋体"/>
          <w:sz w:val="24"/>
        </w:rPr>
      </w:pPr>
    </w:p>
    <w:p>
      <w:pPr>
        <w:tabs>
          <w:tab w:val="left" w:pos="720"/>
          <w:tab w:val="left" w:pos="900"/>
        </w:tabs>
        <w:spacing w:line="480" w:lineRule="auto"/>
        <w:ind w:firstLine="720" w:firstLineChars="300"/>
        <w:rPr>
          <w:rFonts w:ascii="宋体" w:hAnsi="宋体"/>
        </w:rPr>
      </w:pPr>
      <w:r>
        <w:rPr>
          <w:rFonts w:hint="eastAsia" w:ascii="宋体" w:hAnsi="宋体"/>
          <w:sz w:val="24"/>
        </w:rPr>
        <w:t>日</w:t>
      </w:r>
      <w:r>
        <w:rPr>
          <w:rFonts w:ascii="宋体" w:hAnsi="宋体"/>
          <w:sz w:val="24"/>
        </w:rPr>
        <w:t xml:space="preserve">    期：年月日</w:t>
      </w:r>
    </w:p>
    <w:p>
      <w:pPr>
        <w:tabs>
          <w:tab w:val="left" w:pos="720"/>
          <w:tab w:val="left" w:pos="900"/>
        </w:tabs>
        <w:spacing w:line="480" w:lineRule="auto"/>
        <w:rPr>
          <w:rFonts w:ascii="宋体" w:hAnsi="宋体"/>
          <w:b/>
          <w:sz w:val="24"/>
        </w:rPr>
      </w:pPr>
    </w:p>
    <w:p>
      <w:pPr>
        <w:tabs>
          <w:tab w:val="left" w:pos="720"/>
          <w:tab w:val="left" w:pos="900"/>
        </w:tabs>
        <w:spacing w:line="480" w:lineRule="auto"/>
        <w:rPr>
          <w:rFonts w:ascii="宋体" w:hAnsi="宋体"/>
          <w:b/>
          <w:sz w:val="24"/>
        </w:rPr>
      </w:pPr>
      <w:r>
        <w:rPr>
          <w:rFonts w:hint="eastAsia" w:ascii="宋体" w:hAnsi="宋体"/>
          <w:b/>
          <w:sz w:val="24"/>
        </w:rPr>
        <w:t>附法定代表人身份证复印件</w:t>
      </w:r>
    </w:p>
    <w:p>
      <w:pPr>
        <w:spacing w:line="360" w:lineRule="auto"/>
        <w:rPr>
          <w:rFonts w:ascii="宋体" w:hAnsi="宋体"/>
          <w:sz w:val="24"/>
        </w:rPr>
      </w:pPr>
    </w:p>
    <w:p>
      <w:pPr>
        <w:spacing w:line="360" w:lineRule="auto"/>
        <w:jc w:val="center"/>
        <w:rPr>
          <w:rFonts w:ascii="宋体" w:hAnsi="宋体"/>
          <w:sz w:val="24"/>
        </w:rPr>
      </w:pPr>
    </w:p>
    <w:p>
      <w:pPr>
        <w:spacing w:line="360" w:lineRule="auto"/>
        <w:jc w:val="center"/>
        <w:outlineLvl w:val="1"/>
        <w:rPr>
          <w:rFonts w:ascii="宋体" w:hAnsi="宋体"/>
          <w:b/>
          <w:sz w:val="24"/>
        </w:rPr>
      </w:pPr>
      <w:r>
        <w:rPr>
          <w:rFonts w:ascii="宋体" w:hAnsi="宋体"/>
          <w:b/>
          <w:sz w:val="24"/>
        </w:rPr>
        <w:br w:type="page"/>
      </w:r>
      <w:bookmarkStart w:id="112" w:name="_Toc528311572"/>
      <w:bookmarkStart w:id="113" w:name="_Toc528154375"/>
      <w:bookmarkStart w:id="114" w:name="_Toc12476132"/>
      <w:bookmarkStart w:id="115" w:name="_Toc11946"/>
      <w:bookmarkStart w:id="116" w:name="_Toc414463512"/>
      <w:r>
        <w:rPr>
          <w:rFonts w:hint="eastAsia" w:ascii="宋体" w:hAnsi="宋体"/>
          <w:b/>
          <w:sz w:val="28"/>
        </w:rPr>
        <w:t>三、法定代表人授权委托书</w:t>
      </w:r>
      <w:bookmarkEnd w:id="112"/>
      <w:bookmarkEnd w:id="113"/>
      <w:bookmarkEnd w:id="114"/>
      <w:bookmarkEnd w:id="115"/>
      <w:bookmarkEnd w:id="116"/>
    </w:p>
    <w:p>
      <w:pPr>
        <w:spacing w:line="480" w:lineRule="auto"/>
        <w:ind w:firstLine="612"/>
        <w:rPr>
          <w:rFonts w:ascii="宋体" w:hAnsi="宋体"/>
          <w:sz w:val="24"/>
        </w:rPr>
      </w:pPr>
    </w:p>
    <w:p>
      <w:pPr>
        <w:spacing w:line="480" w:lineRule="auto"/>
        <w:ind w:firstLine="612"/>
        <w:rPr>
          <w:rFonts w:ascii="宋体" w:hAnsi="宋体"/>
          <w:sz w:val="24"/>
        </w:rPr>
      </w:pPr>
      <w:r>
        <w:rPr>
          <w:rFonts w:hint="eastAsia" w:ascii="宋体" w:hAnsi="宋体"/>
          <w:sz w:val="24"/>
        </w:rPr>
        <w:t>我</w:t>
      </w:r>
      <w:r>
        <w:rPr>
          <w:rFonts w:hint="eastAsia" w:ascii="宋体" w:hAnsi="宋体"/>
          <w:sz w:val="24"/>
          <w:u w:val="single"/>
        </w:rPr>
        <w:t xml:space="preserve">   （姓名）</w:t>
      </w:r>
      <w:r>
        <w:rPr>
          <w:rFonts w:hint="eastAsia" w:ascii="宋体" w:hAnsi="宋体"/>
          <w:sz w:val="24"/>
        </w:rPr>
        <w:t>系</w:t>
      </w:r>
      <w:r>
        <w:rPr>
          <w:rFonts w:hint="eastAsia" w:ascii="宋体" w:hAnsi="宋体"/>
          <w:sz w:val="24"/>
          <w:u w:val="single"/>
        </w:rPr>
        <w:t xml:space="preserve">          （投 标 人 名 称）</w:t>
      </w:r>
      <w:r>
        <w:rPr>
          <w:rFonts w:hint="eastAsia" w:ascii="宋体" w:hAnsi="宋体"/>
          <w:sz w:val="24"/>
        </w:rPr>
        <w:t>的法定代表人，现授权委托</w:t>
      </w:r>
      <w:r>
        <w:rPr>
          <w:rFonts w:hint="eastAsia" w:ascii="宋体" w:hAnsi="宋体"/>
          <w:sz w:val="24"/>
          <w:u w:val="single"/>
        </w:rPr>
        <w:t xml:space="preserve">      （单 位 名 称）     </w:t>
      </w:r>
      <w:r>
        <w:rPr>
          <w:rFonts w:hint="eastAsia" w:ascii="宋体" w:hAnsi="宋体"/>
          <w:sz w:val="24"/>
        </w:rPr>
        <w:t>的</w:t>
      </w:r>
      <w:r>
        <w:rPr>
          <w:rFonts w:hint="eastAsia" w:ascii="宋体" w:hAnsi="宋体"/>
          <w:sz w:val="24"/>
          <w:u w:val="single"/>
        </w:rPr>
        <w:t xml:space="preserve">    （姓名）    </w:t>
      </w:r>
      <w:r>
        <w:rPr>
          <w:rFonts w:hint="eastAsia" w:ascii="宋体" w:hAnsi="宋体"/>
          <w:sz w:val="24"/>
        </w:rPr>
        <w:t>为我公司签署本项目的投标文件的法定代表人授权委托代理人，我承认代理人全权代表我所签署的本项目的投标文件的内容。</w:t>
      </w:r>
    </w:p>
    <w:p>
      <w:pPr>
        <w:spacing w:line="360" w:lineRule="auto"/>
        <w:ind w:firstLine="610"/>
        <w:rPr>
          <w:rFonts w:ascii="宋体" w:hAnsi="宋体"/>
          <w:sz w:val="24"/>
        </w:rPr>
      </w:pPr>
    </w:p>
    <w:p>
      <w:pPr>
        <w:spacing w:line="360" w:lineRule="auto"/>
        <w:ind w:firstLine="697"/>
        <w:rPr>
          <w:rFonts w:ascii="宋体" w:hAnsi="宋体"/>
        </w:rPr>
      </w:pPr>
      <w:r>
        <w:rPr>
          <w:rFonts w:hint="eastAsia" w:ascii="宋体" w:hAnsi="宋体"/>
          <w:sz w:val="24"/>
        </w:rPr>
        <w:t>代理人无转委托权，特此委托。</w:t>
      </w: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ind w:left="1260"/>
        <w:rPr>
          <w:rFonts w:ascii="宋体" w:hAnsi="宋体"/>
        </w:rPr>
      </w:pPr>
    </w:p>
    <w:p>
      <w:pPr>
        <w:rPr>
          <w:rFonts w:ascii="宋体" w:hAnsi="宋体"/>
        </w:rPr>
      </w:pPr>
    </w:p>
    <w:p>
      <w:pPr>
        <w:ind w:left="1920"/>
        <w:rPr>
          <w:rFonts w:ascii="宋体" w:hAnsi="宋体"/>
        </w:rPr>
      </w:pPr>
    </w:p>
    <w:p>
      <w:pPr>
        <w:tabs>
          <w:tab w:val="left" w:pos="0"/>
        </w:tabs>
        <w:spacing w:line="480" w:lineRule="auto"/>
        <w:ind w:left="-1" w:leftChars="-1" w:hanging="1"/>
        <w:rPr>
          <w:rFonts w:ascii="宋体" w:hAnsi="宋体"/>
          <w:sz w:val="24"/>
          <w:u w:val="single"/>
        </w:rPr>
      </w:pPr>
      <w:r>
        <w:rPr>
          <w:rFonts w:hint="eastAsia" w:ascii="宋体" w:hAnsi="宋体"/>
          <w:sz w:val="24"/>
        </w:rPr>
        <w:t>代理人：性别 ：年龄：_____</w:t>
      </w:r>
    </w:p>
    <w:p>
      <w:pPr>
        <w:spacing w:line="480" w:lineRule="auto"/>
        <w:rPr>
          <w:rFonts w:ascii="宋体" w:hAnsi="宋体"/>
          <w:sz w:val="24"/>
          <w:u w:val="single"/>
        </w:rPr>
      </w:pPr>
      <w:r>
        <w:rPr>
          <w:rFonts w:hint="eastAsia" w:ascii="宋体" w:hAnsi="宋体"/>
          <w:sz w:val="24"/>
        </w:rPr>
        <w:t>身份证号码：职务：</w:t>
      </w:r>
      <w:r>
        <w:rPr>
          <w:rFonts w:hint="eastAsia" w:ascii="宋体" w:hAnsi="宋体"/>
          <w:sz w:val="24"/>
          <w:u w:val="single"/>
        </w:rPr>
        <w:t>____         ___</w:t>
      </w:r>
    </w:p>
    <w:p>
      <w:pPr>
        <w:spacing w:line="480" w:lineRule="auto"/>
        <w:rPr>
          <w:rFonts w:ascii="宋体" w:hAnsi="宋体"/>
          <w:sz w:val="24"/>
        </w:rPr>
      </w:pPr>
      <w:r>
        <w:rPr>
          <w:rFonts w:hint="eastAsia" w:ascii="宋体" w:hAnsi="宋体"/>
          <w:sz w:val="24"/>
        </w:rPr>
        <w:t>投标人：（盖章）</w:t>
      </w:r>
    </w:p>
    <w:p>
      <w:pPr>
        <w:spacing w:line="480" w:lineRule="auto"/>
        <w:rPr>
          <w:rFonts w:ascii="宋体" w:hAnsi="宋体"/>
          <w:sz w:val="24"/>
        </w:rPr>
      </w:pPr>
      <w:r>
        <w:rPr>
          <w:rFonts w:hint="eastAsia" w:ascii="宋体" w:hAnsi="宋体"/>
          <w:sz w:val="24"/>
        </w:rPr>
        <w:t>法定代表人</w:t>
      </w:r>
      <w:r>
        <w:rPr>
          <w:rFonts w:hint="eastAsia" w:ascii="宋体" w:hAnsi="宋体"/>
          <w:sz w:val="24"/>
          <w:szCs w:val="21"/>
        </w:rPr>
        <w:t>：</w:t>
      </w:r>
      <w:r>
        <w:rPr>
          <w:rFonts w:hint="eastAsia" w:ascii="宋体" w:hAnsi="宋体"/>
          <w:sz w:val="24"/>
        </w:rPr>
        <w:t>（签字或盖章）</w:t>
      </w:r>
    </w:p>
    <w:p>
      <w:pPr>
        <w:spacing w:line="480" w:lineRule="auto"/>
        <w:ind w:left="1"/>
        <w:rPr>
          <w:rFonts w:ascii="宋体" w:hAnsi="宋体"/>
          <w:sz w:val="24"/>
        </w:rPr>
      </w:pPr>
      <w:r>
        <w:rPr>
          <w:rFonts w:hint="eastAsia" w:ascii="宋体" w:hAnsi="宋体"/>
          <w:sz w:val="24"/>
        </w:rPr>
        <w:t>授权委托日期：年 月日</w:t>
      </w:r>
    </w:p>
    <w:p>
      <w:pPr>
        <w:spacing w:line="360" w:lineRule="auto"/>
        <w:jc w:val="center"/>
        <w:rPr>
          <w:rFonts w:ascii="宋体" w:hAnsi="宋体"/>
          <w:sz w:val="24"/>
        </w:rPr>
      </w:pPr>
    </w:p>
    <w:p>
      <w:pPr>
        <w:spacing w:line="360" w:lineRule="auto"/>
        <w:rPr>
          <w:rFonts w:ascii="宋体" w:hAnsi="宋体"/>
          <w:b/>
          <w:sz w:val="24"/>
        </w:rPr>
      </w:pPr>
      <w:r>
        <w:rPr>
          <w:rFonts w:hint="eastAsia" w:ascii="宋体" w:hAnsi="宋体"/>
          <w:b/>
          <w:sz w:val="24"/>
        </w:rPr>
        <w:t>附代理人身份证复印件</w:t>
      </w:r>
    </w:p>
    <w:p>
      <w:pPr>
        <w:spacing w:line="360" w:lineRule="auto"/>
        <w:jc w:val="left"/>
        <w:rPr>
          <w:rFonts w:ascii="宋体" w:hAnsi="宋体"/>
          <w:bCs/>
          <w:sz w:val="28"/>
          <w:szCs w:val="28"/>
        </w:rPr>
      </w:pPr>
    </w:p>
    <w:p>
      <w:pPr>
        <w:spacing w:line="276" w:lineRule="auto"/>
        <w:rPr>
          <w:rFonts w:ascii="宋体" w:hAnsi="宋体"/>
          <w:sz w:val="32"/>
          <w:szCs w:val="32"/>
        </w:rPr>
      </w:pPr>
      <w:bookmarkStart w:id="117" w:name="_Toc219697907"/>
      <w:bookmarkStart w:id="118" w:name="_Toc163016535"/>
      <w:bookmarkStart w:id="119" w:name="_Toc425235656"/>
      <w:bookmarkStart w:id="120" w:name="_Toc121812239"/>
      <w:bookmarkStart w:id="121" w:name="_Toc151185699"/>
      <w:bookmarkStart w:id="122" w:name="_Toc188176426"/>
      <w:bookmarkStart w:id="123" w:name="_Toc387840909"/>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sz w:val="32"/>
          <w:szCs w:val="32"/>
        </w:rPr>
      </w:pPr>
    </w:p>
    <w:p>
      <w:pPr>
        <w:spacing w:line="276" w:lineRule="auto"/>
        <w:rPr>
          <w:rFonts w:ascii="宋体" w:hAnsi="宋体" w:cs="仿宋"/>
          <w:b/>
          <w:sz w:val="24"/>
        </w:rPr>
      </w:pPr>
    </w:p>
    <w:p>
      <w:pPr>
        <w:spacing w:line="360" w:lineRule="auto"/>
        <w:jc w:val="center"/>
        <w:rPr>
          <w:rFonts w:ascii="宋体" w:hAnsi="宋体" w:cs="仿宋"/>
          <w:b/>
          <w:sz w:val="24"/>
        </w:rPr>
      </w:pPr>
    </w:p>
    <w:p>
      <w:pPr>
        <w:spacing w:line="360" w:lineRule="auto"/>
        <w:jc w:val="center"/>
        <w:rPr>
          <w:rFonts w:ascii="宋体" w:hAnsi="宋体" w:cs="仿宋"/>
          <w:b/>
          <w:sz w:val="24"/>
        </w:rPr>
      </w:pPr>
    </w:p>
    <w:bookmarkEnd w:id="117"/>
    <w:bookmarkEnd w:id="118"/>
    <w:bookmarkEnd w:id="119"/>
    <w:bookmarkEnd w:id="120"/>
    <w:bookmarkEnd w:id="121"/>
    <w:bookmarkEnd w:id="122"/>
    <w:bookmarkEnd w:id="123"/>
    <w:p>
      <w:pPr>
        <w:spacing w:line="360" w:lineRule="auto"/>
        <w:jc w:val="center"/>
        <w:outlineLvl w:val="1"/>
        <w:rPr>
          <w:rFonts w:ascii="宋体" w:hAnsi="宋体"/>
          <w:b/>
          <w:sz w:val="28"/>
        </w:rPr>
      </w:pPr>
      <w:bookmarkStart w:id="124" w:name="_Toc353462081"/>
      <w:bookmarkStart w:id="125" w:name="_Toc353462262"/>
      <w:bookmarkStart w:id="126" w:name="_Toc356291639"/>
      <w:bookmarkStart w:id="127" w:name="_Toc528154377"/>
      <w:bookmarkStart w:id="128" w:name="_Toc24498"/>
      <w:bookmarkStart w:id="129" w:name="_Toc12476133"/>
      <w:bookmarkStart w:id="130" w:name="_Toc528311574"/>
      <w:r>
        <w:rPr>
          <w:rFonts w:hint="eastAsia" w:ascii="宋体" w:hAnsi="宋体"/>
          <w:b/>
          <w:sz w:val="28"/>
          <w:szCs w:val="28"/>
        </w:rPr>
        <w:t>四、</w:t>
      </w:r>
      <w:bookmarkEnd w:id="124"/>
      <w:bookmarkEnd w:id="125"/>
      <w:bookmarkEnd w:id="126"/>
      <w:r>
        <w:rPr>
          <w:rFonts w:hint="eastAsia" w:ascii="宋体" w:hAnsi="宋体"/>
          <w:b/>
          <w:sz w:val="28"/>
        </w:rPr>
        <w:t>质量、供货期及服务承诺</w:t>
      </w:r>
      <w:bookmarkEnd w:id="127"/>
      <w:bookmarkEnd w:id="128"/>
      <w:bookmarkEnd w:id="129"/>
      <w:bookmarkEnd w:id="130"/>
    </w:p>
    <w:p>
      <w:pPr>
        <w:spacing w:line="360" w:lineRule="auto"/>
        <w:rPr>
          <w:rFonts w:ascii="宋体" w:hAnsi="宋体"/>
          <w:color w:val="000000"/>
          <w:sz w:val="28"/>
        </w:rPr>
      </w:pPr>
    </w:p>
    <w:p>
      <w:pPr>
        <w:spacing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{招标人名称}</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我方对于</w:t>
      </w:r>
      <w:r>
        <w:rPr>
          <w:rFonts w:hint="eastAsia" w:ascii="宋体" w:hAnsi="宋体"/>
          <w:color w:val="000000"/>
          <w:sz w:val="24"/>
          <w:u w:val="single"/>
        </w:rPr>
        <w:t xml:space="preserve">  {招标项目名称}    </w:t>
      </w:r>
      <w:r>
        <w:rPr>
          <w:rFonts w:hint="eastAsia" w:ascii="宋体" w:hAnsi="宋体"/>
          <w:color w:val="000000"/>
          <w:sz w:val="24"/>
        </w:rPr>
        <w:t>承诺如下：</w:t>
      </w:r>
    </w:p>
    <w:p>
      <w:pPr>
        <w:tabs>
          <w:tab w:val="left" w:pos="1260"/>
        </w:tabs>
        <w:spacing w:line="360" w:lineRule="auto"/>
        <w:ind w:right="-172" w:rightChars="-82"/>
        <w:rPr>
          <w:rFonts w:ascii="宋体" w:hAnsi="宋体"/>
          <w:color w:val="000000"/>
          <w:sz w:val="24"/>
          <w:u w:val="single"/>
        </w:rPr>
      </w:pPr>
      <w:r>
        <w:rPr>
          <w:rFonts w:hint="eastAsia" w:ascii="宋体" w:hAnsi="宋体"/>
          <w:color w:val="000000"/>
          <w:sz w:val="24"/>
        </w:rPr>
        <w:t>1、我方对所提供的服务作如下质量保证及违约责任承诺：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r>
        <w:rPr>
          <w:rFonts w:hint="eastAsia" w:ascii="宋体" w:hAnsi="宋体"/>
          <w:color w:val="000000"/>
          <w:sz w:val="24"/>
        </w:rPr>
        <w:t>2、我方作出如下工期保证及违约责任承诺：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rPr>
      </w:pPr>
      <w:r>
        <w:rPr>
          <w:rFonts w:hint="eastAsia" w:ascii="宋体" w:hAnsi="宋体"/>
          <w:color w:val="000000"/>
          <w:sz w:val="24"/>
        </w:rPr>
        <w:t>3、我方承诺提供如下售后服务保证及违约责任承诺：</w:t>
      </w: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right="-172" w:rightChars="-82"/>
        <w:rPr>
          <w:rFonts w:ascii="宋体" w:hAnsi="宋体"/>
          <w:color w:val="000000"/>
          <w:sz w:val="24"/>
          <w:u w:val="single"/>
        </w:rPr>
      </w:pPr>
    </w:p>
    <w:p>
      <w:pPr>
        <w:tabs>
          <w:tab w:val="left" w:pos="1260"/>
        </w:tabs>
        <w:spacing w:line="360" w:lineRule="auto"/>
        <w:ind w:left="-178" w:leftChars="-85" w:firstLine="151" w:firstLineChars="63"/>
        <w:rPr>
          <w:rFonts w:ascii="宋体" w:hAnsi="宋体"/>
          <w:color w:val="000000"/>
          <w:sz w:val="24"/>
        </w:rPr>
      </w:pPr>
      <w:r>
        <w:rPr>
          <w:rFonts w:hint="eastAsia" w:ascii="宋体" w:hAnsi="宋体"/>
          <w:color w:val="000000"/>
          <w:sz w:val="24"/>
        </w:rPr>
        <w:t>4、（其他承诺）...</w:t>
      </w: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1260"/>
        </w:tabs>
        <w:spacing w:line="360" w:lineRule="auto"/>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tabs>
          <w:tab w:val="left" w:pos="3780"/>
        </w:tabs>
        <w:spacing w:line="360" w:lineRule="auto"/>
        <w:jc w:val="left"/>
        <w:rPr>
          <w:rFonts w:ascii="宋体" w:hAnsi="宋体"/>
          <w:sz w:val="24"/>
        </w:rPr>
      </w:pPr>
    </w:p>
    <w:p>
      <w:pPr>
        <w:spacing w:line="276" w:lineRule="auto"/>
        <w:rPr>
          <w:rFonts w:ascii="宋体" w:hAnsi="宋体"/>
          <w:sz w:val="28"/>
        </w:rPr>
      </w:pPr>
      <w:bookmarkStart w:id="131" w:name="_Toc356291640"/>
      <w:r>
        <w:rPr>
          <w:rFonts w:hint="eastAsia" w:ascii="宋体" w:hAnsi="宋体"/>
        </w:rPr>
        <w:t>日期：年月日</w:t>
      </w:r>
      <w:bookmarkEnd w:id="131"/>
    </w:p>
    <w:bookmarkEnd w:id="91"/>
    <w:bookmarkEnd w:id="92"/>
    <w:bookmarkEnd w:id="93"/>
    <w:bookmarkEnd w:id="94"/>
    <w:bookmarkEnd w:id="95"/>
    <w:p>
      <w:pPr>
        <w:spacing w:line="360" w:lineRule="auto"/>
        <w:rPr>
          <w:rFonts w:ascii="宋体" w:hAnsi="宋体"/>
          <w:b/>
          <w:sz w:val="28"/>
        </w:rPr>
      </w:pPr>
      <w:bookmarkStart w:id="132" w:name="_Toc356291643"/>
      <w:bookmarkStart w:id="133" w:name="_Toc100386082"/>
      <w:bookmarkStart w:id="134" w:name="_Toc92168050"/>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sz w:val="24"/>
        </w:rPr>
      </w:pPr>
    </w:p>
    <w:p>
      <w:pPr>
        <w:spacing w:line="360" w:lineRule="auto"/>
        <w:ind w:firstLine="480" w:firstLineChars="200"/>
        <w:rPr>
          <w:rFonts w:ascii="宋体" w:hAnsi="宋体"/>
          <w:sz w:val="24"/>
        </w:rPr>
      </w:pPr>
    </w:p>
    <w:p>
      <w:pPr>
        <w:pStyle w:val="25"/>
        <w:spacing w:before="0" w:beforeAutospacing="0" w:after="0" w:afterAutospacing="0" w:line="360" w:lineRule="auto"/>
        <w:ind w:firstLine="400"/>
        <w:jc w:val="center"/>
        <w:outlineLvl w:val="1"/>
        <w:rPr>
          <w:b/>
          <w:sz w:val="28"/>
          <w:szCs w:val="28"/>
        </w:rPr>
      </w:pPr>
      <w:bookmarkStart w:id="135" w:name="_Toc528311576"/>
      <w:bookmarkStart w:id="136" w:name="_Toc12476134"/>
      <w:bookmarkStart w:id="137" w:name="_Toc528154379"/>
      <w:bookmarkStart w:id="138" w:name="_Toc16381"/>
      <w:r>
        <w:rPr>
          <w:rFonts w:hint="eastAsia"/>
          <w:b/>
          <w:sz w:val="28"/>
          <w:szCs w:val="28"/>
        </w:rPr>
        <w:t>五</w:t>
      </w:r>
      <w:r>
        <w:rPr>
          <w:b/>
          <w:sz w:val="28"/>
          <w:szCs w:val="28"/>
        </w:rPr>
        <w:t>、</w:t>
      </w:r>
      <w:r>
        <w:rPr>
          <w:rFonts w:hint="eastAsia"/>
          <w:b/>
          <w:sz w:val="28"/>
          <w:szCs w:val="28"/>
        </w:rPr>
        <w:t>资格审查资料</w:t>
      </w:r>
      <w:bookmarkEnd w:id="135"/>
      <w:bookmarkEnd w:id="136"/>
      <w:bookmarkEnd w:id="137"/>
      <w:bookmarkEnd w:id="138"/>
    </w:p>
    <w:p>
      <w:pPr>
        <w:pStyle w:val="25"/>
        <w:spacing w:before="0" w:beforeAutospacing="0" w:after="0" w:afterAutospacing="0" w:line="360" w:lineRule="auto"/>
        <w:ind w:firstLine="400"/>
        <w:jc w:val="center"/>
      </w:pPr>
      <w:r>
        <w:rPr>
          <w:b/>
        </w:rPr>
        <w:t>5</w:t>
      </w:r>
      <w:r>
        <w:rPr>
          <w:rFonts w:hint="eastAsia"/>
          <w:b/>
        </w:rPr>
        <w:t>.1</w:t>
      </w:r>
      <w:r>
        <w:rPr>
          <w:b/>
        </w:rPr>
        <w:t>投标人</w:t>
      </w:r>
      <w:r>
        <w:rPr>
          <w:rFonts w:hint="eastAsia"/>
          <w:b/>
        </w:rPr>
        <w:t>基本</w:t>
      </w:r>
      <w:r>
        <w:rPr>
          <w:b/>
        </w:rPr>
        <w:t>情况一览表</w:t>
      </w:r>
      <w:bookmarkEnd w:id="132"/>
    </w:p>
    <w:tbl>
      <w:tblPr>
        <w:tblStyle w:val="2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28"/>
        <w:gridCol w:w="4099"/>
        <w:gridCol w:w="43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9" w:hRule="atLeast"/>
          <w:jc w:val="center"/>
        </w:trPr>
        <w:tc>
          <w:tcPr>
            <w:tcW w:w="628" w:type="dxa"/>
            <w:tcBorders>
              <w:top w:val="single" w:color="auto" w:sz="1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1</w:t>
            </w:r>
          </w:p>
        </w:tc>
        <w:tc>
          <w:tcPr>
            <w:tcW w:w="8412" w:type="dxa"/>
            <w:gridSpan w:val="2"/>
            <w:tcBorders>
              <w:top w:val="single" w:color="auto" w:sz="1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单位名称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2</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总部地址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7"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3</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当地代表处地址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8"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4</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电话</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联系人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5</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传真</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电子邮箱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7"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6</w:t>
            </w:r>
          </w:p>
        </w:tc>
        <w:tc>
          <w:tcPr>
            <w:tcW w:w="4099" w:type="dxa"/>
            <w:tcBorders>
              <w:top w:val="single" w:color="auto" w:sz="2" w:space="0"/>
              <w:left w:val="single" w:color="auto" w:sz="2" w:space="0"/>
              <w:bottom w:val="single" w:color="auto" w:sz="2" w:space="0"/>
              <w:right w:val="single" w:color="auto" w:sz="2" w:space="0"/>
            </w:tcBorders>
            <w:vAlign w:val="center"/>
          </w:tcPr>
          <w:p>
            <w:pPr>
              <w:spacing w:line="360" w:lineRule="auto"/>
              <w:ind w:firstLine="100"/>
              <w:rPr>
                <w:rFonts w:ascii="宋体" w:hAnsi="宋体"/>
                <w:sz w:val="24"/>
              </w:rPr>
            </w:pPr>
            <w:r>
              <w:rPr>
                <w:rFonts w:hint="eastAsia" w:ascii="宋体" w:hAnsi="宋体"/>
                <w:sz w:val="24"/>
              </w:rPr>
              <w:t>注册地</w:t>
            </w:r>
          </w:p>
        </w:tc>
        <w:tc>
          <w:tcPr>
            <w:tcW w:w="4313" w:type="dxa"/>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注册年份    （请附营业执照复印件）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9"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7</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公司资质等级证书号                  （请附有关证书的复印件）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0"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8</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left="72" w:firstLine="28"/>
              <w:rPr>
                <w:rFonts w:ascii="宋体" w:hAnsi="宋体"/>
                <w:sz w:val="24"/>
              </w:rPr>
            </w:pPr>
            <w:r>
              <w:rPr>
                <w:rFonts w:hint="eastAsia" w:ascii="宋体" w:hAnsi="宋体"/>
                <w:sz w:val="24"/>
              </w:rPr>
              <w:t>公司</w:t>
            </w:r>
            <w:r>
              <w:rPr>
                <w:rFonts w:hint="eastAsia" w:ascii="宋体" w:hAnsi="宋体"/>
                <w:sz w:val="24"/>
                <w:u w:val="single"/>
              </w:rPr>
              <w:t xml:space="preserve">     （是否通过，何种）    </w:t>
            </w:r>
            <w:r>
              <w:rPr>
                <w:rFonts w:hint="eastAsia" w:ascii="宋体" w:hAnsi="宋体"/>
                <w:sz w:val="24"/>
              </w:rPr>
              <w:t>质量保证体系认证（如通过请附相关证书复印件，并提供认证机构年审监督报告）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45"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ascii="宋体" w:hAnsi="宋体"/>
                <w:sz w:val="24"/>
              </w:rPr>
              <w:t>9</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主营范围</w:t>
            </w:r>
          </w:p>
          <w:p>
            <w:pPr>
              <w:spacing w:line="360" w:lineRule="auto"/>
              <w:ind w:firstLine="100"/>
              <w:rPr>
                <w:rFonts w:ascii="宋体" w:hAnsi="宋体"/>
                <w:sz w:val="24"/>
                <w:u w:val="single"/>
              </w:rPr>
            </w:pPr>
            <w:r>
              <w:rPr>
                <w:rFonts w:ascii="宋体" w:hAnsi="宋体"/>
                <w:sz w:val="24"/>
              </w:rPr>
              <w:t>1</w:t>
            </w:r>
            <w:r>
              <w:rPr>
                <w:rFonts w:hint="eastAsia" w:ascii="宋体" w:hAnsi="宋体"/>
                <w:sz w:val="24"/>
              </w:rPr>
              <w:t>、_______________________________________________________________</w:t>
            </w:r>
          </w:p>
          <w:p>
            <w:pPr>
              <w:spacing w:line="360" w:lineRule="auto"/>
              <w:ind w:firstLine="100"/>
              <w:rPr>
                <w:rFonts w:ascii="宋体" w:hAnsi="宋体"/>
                <w:sz w:val="24"/>
                <w:u w:val="single"/>
              </w:rPr>
            </w:pPr>
            <w:r>
              <w:rPr>
                <w:rFonts w:ascii="宋体" w:hAnsi="宋体"/>
                <w:sz w:val="24"/>
              </w:rPr>
              <w:t>2</w:t>
            </w:r>
            <w:r>
              <w:rPr>
                <w:rFonts w:hint="eastAsia" w:ascii="宋体" w:hAnsi="宋体"/>
                <w:sz w:val="24"/>
              </w:rPr>
              <w:t>、_______________________________________________________________</w:t>
            </w:r>
          </w:p>
          <w:p>
            <w:pPr>
              <w:spacing w:line="360" w:lineRule="auto"/>
              <w:ind w:firstLine="100"/>
              <w:rPr>
                <w:rFonts w:ascii="宋体" w:hAnsi="宋体"/>
                <w:sz w:val="24"/>
              </w:rPr>
            </w:pPr>
            <w:r>
              <w:rPr>
                <w:rFonts w:hint="eastAsia"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75" w:hRule="atLeast"/>
          <w:jc w:val="center"/>
        </w:trPr>
        <w:tc>
          <w:tcPr>
            <w:tcW w:w="628" w:type="dxa"/>
            <w:tcBorders>
              <w:top w:val="single" w:color="auto" w:sz="2" w:space="0"/>
              <w:left w:val="single" w:color="auto" w:sz="12" w:space="0"/>
              <w:bottom w:val="single" w:color="auto" w:sz="2" w:space="0"/>
              <w:right w:val="single" w:color="auto" w:sz="2" w:space="0"/>
            </w:tcBorders>
            <w:vAlign w:val="center"/>
          </w:tcPr>
          <w:p>
            <w:pPr>
              <w:spacing w:line="360" w:lineRule="auto"/>
              <w:jc w:val="center"/>
              <w:rPr>
                <w:rFonts w:ascii="宋体" w:hAnsi="宋体"/>
                <w:sz w:val="24"/>
              </w:rPr>
            </w:pPr>
            <w:r>
              <w:rPr>
                <w:rFonts w:hint="eastAsia" w:ascii="宋体" w:hAnsi="宋体"/>
                <w:sz w:val="24"/>
              </w:rPr>
              <w:t>10</w:t>
            </w:r>
          </w:p>
        </w:tc>
        <w:tc>
          <w:tcPr>
            <w:tcW w:w="8412" w:type="dxa"/>
            <w:gridSpan w:val="2"/>
            <w:tcBorders>
              <w:top w:val="single" w:color="auto" w:sz="2" w:space="0"/>
              <w:left w:val="single" w:color="auto" w:sz="2" w:space="0"/>
              <w:bottom w:val="single" w:color="auto" w:sz="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在云南省内的服务电话及地址等相关情况说明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5" w:hRule="atLeast"/>
          <w:jc w:val="center"/>
        </w:trPr>
        <w:tc>
          <w:tcPr>
            <w:tcW w:w="628" w:type="dxa"/>
            <w:tcBorders>
              <w:top w:val="single" w:color="auto" w:sz="2" w:space="0"/>
              <w:left w:val="single" w:color="auto" w:sz="12" w:space="0"/>
              <w:bottom w:val="single" w:color="auto" w:sz="12" w:space="0"/>
              <w:right w:val="single" w:color="auto" w:sz="2" w:space="0"/>
            </w:tcBorders>
            <w:vAlign w:val="center"/>
          </w:tcPr>
          <w:p>
            <w:pPr>
              <w:spacing w:line="360" w:lineRule="auto"/>
              <w:jc w:val="center"/>
              <w:rPr>
                <w:rFonts w:ascii="宋体" w:hAnsi="宋体"/>
                <w:sz w:val="24"/>
              </w:rPr>
            </w:pPr>
            <w:r>
              <w:rPr>
                <w:rFonts w:hint="eastAsia" w:ascii="宋体" w:hAnsi="宋体"/>
                <w:sz w:val="24"/>
              </w:rPr>
              <w:t>11</w:t>
            </w:r>
          </w:p>
        </w:tc>
        <w:tc>
          <w:tcPr>
            <w:tcW w:w="8412" w:type="dxa"/>
            <w:gridSpan w:val="2"/>
            <w:tcBorders>
              <w:top w:val="single" w:color="auto" w:sz="2" w:space="0"/>
              <w:left w:val="single" w:color="auto" w:sz="2" w:space="0"/>
              <w:bottom w:val="single" w:color="auto" w:sz="12" w:space="0"/>
              <w:right w:val="single" w:color="auto" w:sz="12" w:space="0"/>
            </w:tcBorders>
            <w:vAlign w:val="center"/>
          </w:tcPr>
          <w:p>
            <w:pPr>
              <w:spacing w:line="360" w:lineRule="auto"/>
              <w:ind w:firstLine="100"/>
              <w:rPr>
                <w:rFonts w:ascii="宋体" w:hAnsi="宋体"/>
                <w:sz w:val="24"/>
              </w:rPr>
            </w:pPr>
            <w:r>
              <w:rPr>
                <w:rFonts w:hint="eastAsia" w:ascii="宋体" w:hAnsi="宋体"/>
                <w:sz w:val="24"/>
              </w:rPr>
              <w:t>其他需要说明的情况</w:t>
            </w:r>
          </w:p>
        </w:tc>
      </w:tr>
    </w:tbl>
    <w:p>
      <w:pPr>
        <w:spacing w:line="360" w:lineRule="auto"/>
        <w:ind w:firstLine="100"/>
        <w:rPr>
          <w:rFonts w:ascii="宋体" w:hAnsi="宋体"/>
          <w:b/>
          <w:kern w:val="0"/>
          <w:sz w:val="28"/>
          <w:szCs w:val="28"/>
        </w:rPr>
      </w:pPr>
      <w:r>
        <w:rPr>
          <w:rFonts w:hint="eastAsia" w:ascii="宋体" w:hAnsi="宋体"/>
          <w:b/>
          <w:sz w:val="24"/>
        </w:rPr>
        <w:t>注：本表后附投标人企业法人营业执照副本复印件、税务登记证副本复印件、组织机构代码证副本复印件（或三证合一的营业执照副本复印件）、基本账户开户许可证复印件。</w:t>
      </w:r>
    </w:p>
    <w:p>
      <w:pPr>
        <w:spacing w:line="360" w:lineRule="auto"/>
        <w:ind w:left="473" w:leftChars="225" w:firstLine="120" w:firstLineChars="50"/>
        <w:rPr>
          <w:rFonts w:ascii="宋体" w:hAnsi="宋体"/>
          <w:kern w:val="0"/>
          <w:sz w:val="24"/>
        </w:rPr>
      </w:pPr>
    </w:p>
    <w:p>
      <w:pPr>
        <w:spacing w:line="360" w:lineRule="auto"/>
        <w:ind w:left="473" w:leftChars="225" w:firstLine="120" w:firstLineChars="50"/>
        <w:rPr>
          <w:rFonts w:ascii="宋体" w:hAnsi="宋体"/>
          <w:kern w:val="0"/>
          <w:sz w:val="24"/>
        </w:rPr>
      </w:pPr>
    </w:p>
    <w:p>
      <w:pPr>
        <w:spacing w:line="360" w:lineRule="auto"/>
        <w:ind w:left="473" w:leftChars="225" w:firstLine="120" w:firstLineChars="50"/>
        <w:rPr>
          <w:rFonts w:ascii="宋体" w:hAnsi="宋体"/>
          <w:kern w:val="0"/>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rPr>
          <w:rFonts w:ascii="宋体" w:hAnsi="宋体"/>
          <w:b/>
          <w:sz w:val="28"/>
        </w:rPr>
      </w:pPr>
      <w:r>
        <w:rPr>
          <w:rFonts w:hint="eastAsia" w:ascii="宋体" w:hAnsi="宋体"/>
          <w:sz w:val="24"/>
        </w:rPr>
        <w:t>日期：年月日</w:t>
      </w:r>
    </w:p>
    <w:p>
      <w:pPr>
        <w:jc w:val="center"/>
        <w:rPr>
          <w:rFonts w:ascii="宋体" w:hAnsi="宋体"/>
          <w:b/>
          <w:bCs/>
          <w:sz w:val="24"/>
        </w:rPr>
      </w:pPr>
      <w:r>
        <w:rPr>
          <w:rFonts w:ascii="宋体" w:hAnsi="宋体"/>
          <w:b/>
          <w:sz w:val="28"/>
        </w:rPr>
        <w:br w:type="page"/>
      </w:r>
      <w:bookmarkStart w:id="139" w:name="_Toc356291647"/>
      <w:bookmarkStart w:id="140" w:name="_Toc353462258"/>
      <w:bookmarkStart w:id="141" w:name="_Toc353462077"/>
      <w:r>
        <w:rPr>
          <w:rFonts w:ascii="宋体" w:hAnsi="宋体"/>
          <w:b/>
          <w:bCs/>
          <w:sz w:val="24"/>
        </w:rPr>
        <w:t>5</w:t>
      </w:r>
      <w:r>
        <w:rPr>
          <w:rFonts w:hint="eastAsia" w:ascii="宋体" w:hAnsi="宋体"/>
          <w:b/>
          <w:bCs/>
          <w:sz w:val="24"/>
        </w:rPr>
        <w:t>.2 20</w:t>
      </w:r>
      <w:r>
        <w:rPr>
          <w:rFonts w:ascii="宋体" w:hAnsi="宋体"/>
          <w:b/>
          <w:bCs/>
          <w:sz w:val="24"/>
        </w:rPr>
        <w:t>20</w:t>
      </w:r>
      <w:r>
        <w:rPr>
          <w:rFonts w:hint="eastAsia" w:ascii="宋体" w:hAnsi="宋体"/>
          <w:b/>
          <w:bCs/>
          <w:sz w:val="24"/>
        </w:rPr>
        <w:t>年至今承担过的类似项目一览表</w:t>
      </w:r>
      <w:bookmarkEnd w:id="139"/>
      <w:bookmarkEnd w:id="140"/>
      <w:bookmarkEnd w:id="141"/>
    </w:p>
    <w:p>
      <w:pPr>
        <w:jc w:val="center"/>
        <w:rPr>
          <w:rFonts w:ascii="宋体" w:hAnsi="宋体"/>
          <w:b/>
          <w:bCs/>
          <w:sz w:val="24"/>
        </w:rPr>
      </w:pPr>
    </w:p>
    <w:tbl>
      <w:tblPr>
        <w:tblStyle w:val="2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52"/>
        <w:gridCol w:w="2688"/>
        <w:gridCol w:w="1861"/>
        <w:gridCol w:w="1507"/>
        <w:gridCol w:w="24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jc w:val="center"/>
              <w:rPr>
                <w:rFonts w:ascii="宋体" w:hAnsi="宋体"/>
                <w:bCs/>
                <w:sz w:val="24"/>
              </w:rPr>
            </w:pPr>
            <w:r>
              <w:rPr>
                <w:rFonts w:hint="eastAsia" w:ascii="宋体" w:hAnsi="宋体"/>
                <w:bCs/>
                <w:sz w:val="24"/>
              </w:rPr>
              <w:t>序号</w:t>
            </w:r>
          </w:p>
        </w:tc>
        <w:tc>
          <w:tcPr>
            <w:tcW w:w="2688" w:type="dxa"/>
            <w:vAlign w:val="center"/>
          </w:tcPr>
          <w:p>
            <w:pPr>
              <w:spacing w:line="360" w:lineRule="auto"/>
              <w:jc w:val="center"/>
              <w:rPr>
                <w:rFonts w:ascii="宋体" w:hAnsi="宋体"/>
                <w:bCs/>
                <w:sz w:val="24"/>
              </w:rPr>
            </w:pPr>
            <w:r>
              <w:rPr>
                <w:rFonts w:hint="eastAsia" w:ascii="宋体" w:hAnsi="宋体"/>
                <w:bCs/>
                <w:sz w:val="24"/>
              </w:rPr>
              <w:t>项目名称</w:t>
            </w:r>
          </w:p>
        </w:tc>
        <w:tc>
          <w:tcPr>
            <w:tcW w:w="1861" w:type="dxa"/>
            <w:vAlign w:val="center"/>
          </w:tcPr>
          <w:p>
            <w:pPr>
              <w:spacing w:line="360" w:lineRule="auto"/>
              <w:jc w:val="center"/>
              <w:rPr>
                <w:rFonts w:ascii="宋体" w:hAnsi="宋体"/>
                <w:bCs/>
                <w:sz w:val="24"/>
              </w:rPr>
            </w:pPr>
            <w:r>
              <w:rPr>
                <w:rFonts w:hint="eastAsia" w:ascii="宋体" w:hAnsi="宋体"/>
                <w:bCs/>
                <w:sz w:val="24"/>
              </w:rPr>
              <w:t>合同金额</w:t>
            </w:r>
          </w:p>
          <w:p>
            <w:pPr>
              <w:spacing w:line="360" w:lineRule="auto"/>
              <w:jc w:val="center"/>
              <w:rPr>
                <w:rFonts w:ascii="宋体" w:hAnsi="宋体"/>
                <w:bCs/>
                <w:sz w:val="24"/>
              </w:rPr>
            </w:pPr>
            <w:r>
              <w:rPr>
                <w:rFonts w:hint="eastAsia" w:ascii="宋体" w:hAnsi="宋体"/>
                <w:bCs/>
                <w:sz w:val="24"/>
              </w:rPr>
              <w:t>（万元）</w:t>
            </w:r>
          </w:p>
        </w:tc>
        <w:tc>
          <w:tcPr>
            <w:tcW w:w="1507" w:type="dxa"/>
            <w:vAlign w:val="center"/>
          </w:tcPr>
          <w:p>
            <w:pPr>
              <w:spacing w:line="360" w:lineRule="auto"/>
              <w:jc w:val="center"/>
              <w:rPr>
                <w:rFonts w:ascii="宋体" w:hAnsi="宋体"/>
                <w:bCs/>
                <w:sz w:val="24"/>
              </w:rPr>
            </w:pPr>
            <w:r>
              <w:rPr>
                <w:rFonts w:hint="eastAsia" w:ascii="宋体" w:hAnsi="宋体"/>
                <w:bCs/>
                <w:sz w:val="24"/>
              </w:rPr>
              <w:t>起止日期</w:t>
            </w:r>
          </w:p>
        </w:tc>
        <w:tc>
          <w:tcPr>
            <w:tcW w:w="2481" w:type="dxa"/>
            <w:vAlign w:val="center"/>
          </w:tcPr>
          <w:p>
            <w:pPr>
              <w:spacing w:line="360" w:lineRule="auto"/>
              <w:jc w:val="center"/>
              <w:rPr>
                <w:rFonts w:ascii="宋体" w:hAnsi="宋体"/>
                <w:bCs/>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1</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2</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3</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ascii="宋体" w:hAnsi="宋体"/>
                <w:sz w:val="24"/>
              </w:rPr>
              <w:t>4</w:t>
            </w:r>
          </w:p>
        </w:tc>
        <w:tc>
          <w:tcPr>
            <w:tcW w:w="2688" w:type="dxa"/>
            <w:vAlign w:val="center"/>
          </w:tcPr>
          <w:p>
            <w:pPr>
              <w:spacing w:line="360" w:lineRule="auto"/>
              <w:jc w:val="center"/>
              <w:rPr>
                <w:rFonts w:ascii="宋体" w:hAnsi="宋体"/>
                <w:sz w:val="24"/>
              </w:rPr>
            </w:pP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057" w:hRule="atLeast"/>
        </w:trPr>
        <w:tc>
          <w:tcPr>
            <w:tcW w:w="652" w:type="dxa"/>
            <w:vAlign w:val="center"/>
          </w:tcPr>
          <w:p>
            <w:pPr>
              <w:spacing w:line="360" w:lineRule="auto"/>
              <w:ind w:left="120"/>
              <w:jc w:val="center"/>
              <w:rPr>
                <w:rFonts w:ascii="宋体" w:hAnsi="宋体"/>
                <w:sz w:val="24"/>
              </w:rPr>
            </w:pPr>
            <w:r>
              <w:rPr>
                <w:rFonts w:hint="eastAsia" w:ascii="宋体" w:hAnsi="宋体"/>
                <w:sz w:val="24"/>
              </w:rPr>
              <w:t>5</w:t>
            </w:r>
          </w:p>
        </w:tc>
        <w:tc>
          <w:tcPr>
            <w:tcW w:w="2688" w:type="dxa"/>
            <w:vAlign w:val="center"/>
          </w:tcPr>
          <w:p>
            <w:pPr>
              <w:spacing w:line="360" w:lineRule="auto"/>
              <w:jc w:val="center"/>
              <w:rPr>
                <w:rFonts w:ascii="宋体" w:hAnsi="宋体"/>
                <w:sz w:val="24"/>
              </w:rPr>
            </w:pPr>
            <w:r>
              <w:rPr>
                <w:rFonts w:ascii="宋体" w:hAnsi="宋体"/>
                <w:sz w:val="24"/>
              </w:rPr>
              <w:t>……</w:t>
            </w:r>
          </w:p>
        </w:tc>
        <w:tc>
          <w:tcPr>
            <w:tcW w:w="1861" w:type="dxa"/>
            <w:vAlign w:val="center"/>
          </w:tcPr>
          <w:p>
            <w:pPr>
              <w:spacing w:line="360" w:lineRule="auto"/>
              <w:jc w:val="center"/>
              <w:rPr>
                <w:rFonts w:ascii="宋体" w:hAnsi="宋体"/>
                <w:sz w:val="24"/>
              </w:rPr>
            </w:pPr>
          </w:p>
        </w:tc>
        <w:tc>
          <w:tcPr>
            <w:tcW w:w="1507" w:type="dxa"/>
            <w:vAlign w:val="center"/>
          </w:tcPr>
          <w:p>
            <w:pPr>
              <w:spacing w:line="360" w:lineRule="auto"/>
              <w:jc w:val="center"/>
              <w:rPr>
                <w:rFonts w:ascii="宋体" w:hAnsi="宋体"/>
                <w:sz w:val="24"/>
              </w:rPr>
            </w:pPr>
          </w:p>
        </w:tc>
        <w:tc>
          <w:tcPr>
            <w:tcW w:w="2481" w:type="dxa"/>
            <w:vAlign w:val="center"/>
          </w:tcPr>
          <w:p>
            <w:pPr>
              <w:spacing w:line="360" w:lineRule="auto"/>
              <w:jc w:val="center"/>
              <w:rPr>
                <w:rFonts w:ascii="宋体" w:hAnsi="宋体"/>
                <w:sz w:val="24"/>
              </w:rPr>
            </w:pPr>
          </w:p>
        </w:tc>
      </w:tr>
    </w:tbl>
    <w:p>
      <w:pPr>
        <w:snapToGrid w:val="0"/>
        <w:spacing w:line="360" w:lineRule="auto"/>
        <w:ind w:left="400" w:right="-22" w:hanging="400"/>
        <w:rPr>
          <w:rFonts w:ascii="宋体" w:hAnsi="宋体"/>
          <w:b/>
          <w:sz w:val="24"/>
        </w:rPr>
      </w:pPr>
      <w:r>
        <w:rPr>
          <w:rFonts w:hint="eastAsia" w:ascii="宋体" w:hAnsi="宋体"/>
          <w:b/>
          <w:sz w:val="24"/>
        </w:rPr>
        <w:t>备注：1、申请人应据实提供上述项目，如有虚假，一经查实将导致其投标文件被否决投标。</w:t>
      </w:r>
    </w:p>
    <w:p>
      <w:pPr>
        <w:spacing w:line="360" w:lineRule="auto"/>
        <w:ind w:firstLine="718" w:firstLineChars="298"/>
        <w:rPr>
          <w:rFonts w:ascii="宋体" w:hAnsi="宋体"/>
          <w:b/>
          <w:sz w:val="24"/>
        </w:rPr>
      </w:pPr>
      <w:r>
        <w:rPr>
          <w:rFonts w:hint="eastAsia" w:ascii="宋体" w:hAnsi="宋体"/>
          <w:b/>
          <w:sz w:val="24"/>
        </w:rPr>
        <w:t>2、按列表顺序附合同复印件。</w:t>
      </w:r>
    </w:p>
    <w:p>
      <w:pPr>
        <w:tabs>
          <w:tab w:val="left" w:pos="3315"/>
        </w:tabs>
        <w:autoSpaceDE w:val="0"/>
        <w:autoSpaceDN w:val="0"/>
        <w:adjustRightInd w:val="0"/>
        <w:spacing w:line="360" w:lineRule="auto"/>
        <w:jc w:val="left"/>
        <w:rPr>
          <w:rFonts w:ascii="宋体" w:hAnsi="宋体"/>
          <w:kern w:val="0"/>
          <w:sz w:val="28"/>
          <w:szCs w:val="28"/>
        </w:rPr>
      </w:pPr>
    </w:p>
    <w:p>
      <w:pPr>
        <w:tabs>
          <w:tab w:val="left" w:pos="3315"/>
        </w:tabs>
        <w:autoSpaceDE w:val="0"/>
        <w:autoSpaceDN w:val="0"/>
        <w:adjustRightInd w:val="0"/>
        <w:spacing w:line="360" w:lineRule="auto"/>
        <w:jc w:val="left"/>
        <w:rPr>
          <w:rFonts w:ascii="宋体" w:hAnsi="宋体"/>
          <w:kern w:val="0"/>
          <w:sz w:val="28"/>
          <w:szCs w:val="28"/>
        </w:rPr>
      </w:pP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投 标 人：（盖单位章）</w:t>
      </w:r>
    </w:p>
    <w:p>
      <w:pPr>
        <w:tabs>
          <w:tab w:val="left" w:pos="3780"/>
        </w:tabs>
        <w:spacing w:line="360" w:lineRule="auto"/>
        <w:jc w:val="left"/>
        <w:rPr>
          <w:rFonts w:ascii="宋体" w:hAnsi="宋体"/>
          <w:sz w:val="24"/>
        </w:rPr>
      </w:pPr>
    </w:p>
    <w:p>
      <w:pPr>
        <w:tabs>
          <w:tab w:val="left" w:pos="3780"/>
        </w:tabs>
        <w:spacing w:line="360" w:lineRule="auto"/>
        <w:jc w:val="left"/>
        <w:rPr>
          <w:rFonts w:ascii="宋体" w:hAnsi="宋体"/>
          <w:sz w:val="24"/>
        </w:rPr>
      </w:pPr>
      <w:r>
        <w:rPr>
          <w:rFonts w:hint="eastAsia" w:ascii="宋体" w:hAnsi="宋体"/>
          <w:sz w:val="24"/>
        </w:rPr>
        <w:t>法定代表人或其委托人代理人：（签字或盖章）</w:t>
      </w:r>
    </w:p>
    <w:p>
      <w:pPr>
        <w:spacing w:line="360" w:lineRule="auto"/>
        <w:rPr>
          <w:rFonts w:ascii="宋体" w:hAnsi="宋体"/>
          <w:sz w:val="24"/>
        </w:rPr>
      </w:pPr>
      <w:r>
        <w:rPr>
          <w:rFonts w:hint="eastAsia" w:ascii="宋体" w:hAnsi="宋体"/>
          <w:sz w:val="24"/>
        </w:rPr>
        <w:t>日期：年月日</w:t>
      </w:r>
    </w:p>
    <w:p>
      <w:pPr>
        <w:spacing w:line="360" w:lineRule="auto"/>
        <w:rPr>
          <w:rFonts w:ascii="宋体" w:hAnsi="宋体"/>
          <w:sz w:val="24"/>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jc w:val="center"/>
        <w:outlineLvl w:val="1"/>
        <w:rPr>
          <w:rFonts w:ascii="宋体" w:hAnsi="宋体"/>
          <w:b/>
          <w:sz w:val="28"/>
        </w:rPr>
      </w:pPr>
      <w:bookmarkStart w:id="142" w:name="_Toc528311577"/>
      <w:bookmarkStart w:id="143" w:name="_Toc528154380"/>
      <w:bookmarkStart w:id="144" w:name="_Toc414463516"/>
      <w:bookmarkStart w:id="145" w:name="_Toc12476135"/>
      <w:bookmarkStart w:id="146" w:name="_Toc16783"/>
      <w:r>
        <w:rPr>
          <w:rFonts w:hint="eastAsia" w:ascii="宋体" w:hAnsi="宋体"/>
          <w:b/>
          <w:sz w:val="28"/>
        </w:rPr>
        <w:t>六、其他</w:t>
      </w:r>
      <w:bookmarkEnd w:id="142"/>
      <w:bookmarkEnd w:id="143"/>
      <w:bookmarkEnd w:id="144"/>
      <w:bookmarkEnd w:id="145"/>
      <w:bookmarkEnd w:id="146"/>
    </w:p>
    <w:p>
      <w:pPr>
        <w:spacing w:line="360" w:lineRule="auto"/>
        <w:ind w:firstLine="480" w:firstLineChars="200"/>
        <w:jc w:val="center"/>
        <w:rPr>
          <w:rFonts w:ascii="宋体" w:hAnsi="宋体"/>
          <w:sz w:val="24"/>
        </w:rPr>
      </w:pPr>
      <w:r>
        <w:rPr>
          <w:rFonts w:hint="eastAsia" w:ascii="宋体" w:hAnsi="宋体"/>
          <w:sz w:val="24"/>
        </w:rPr>
        <w:t>投标人认为其他有必要提供的资料。</w:t>
      </w:r>
    </w:p>
    <w:p>
      <w:pPr>
        <w:spacing w:line="360" w:lineRule="auto"/>
        <w:rPr>
          <w:rFonts w:ascii="宋体" w:hAnsi="宋体"/>
          <w:b/>
          <w:sz w:val="24"/>
        </w:rPr>
      </w:pPr>
    </w:p>
    <w:p>
      <w:pPr>
        <w:spacing w:line="360" w:lineRule="auto"/>
        <w:ind w:right="17"/>
        <w:rPr>
          <w:rFonts w:ascii="宋体" w:hAnsi="宋体"/>
          <w:sz w:val="24"/>
        </w:rPr>
      </w:pPr>
    </w:p>
    <w:bookmarkEnd w:id="133"/>
    <w:bookmarkEnd w:id="134"/>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bCs/>
          <w:sz w:val="32"/>
          <w:szCs w:val="32"/>
        </w:rPr>
      </w:pPr>
    </w:p>
    <w:p>
      <w:pPr>
        <w:pStyle w:val="27"/>
        <w:rPr>
          <w:rFonts w:ascii="宋体" w:hAnsi="宋体"/>
        </w:rPr>
      </w:pPr>
      <w:bookmarkStart w:id="147" w:name="_Toc12476136"/>
      <w:r>
        <w:rPr>
          <w:rFonts w:hint="eastAsia" w:ascii="宋体" w:hAnsi="宋体"/>
        </w:rPr>
        <w:t>第五章 技术要求</w:t>
      </w:r>
      <w:bookmarkEnd w:id="147"/>
    </w:p>
    <w:p>
      <w:pPr>
        <w:pStyle w:val="64"/>
        <w:spacing w:line="560" w:lineRule="exact"/>
        <w:ind w:firstLine="480"/>
        <w:rPr>
          <w:rFonts w:ascii="宋体" w:hAnsi="宋体"/>
          <w:sz w:val="24"/>
          <w:szCs w:val="24"/>
        </w:rPr>
      </w:pPr>
    </w:p>
    <w:tbl>
      <w:tblPr>
        <w:tblStyle w:val="68"/>
        <w:tblpPr w:leftFromText="180" w:rightFromText="180" w:vertAnchor="text" w:horzAnchor="page" w:tblpX="1009" w:tblpY="146"/>
        <w:tblOverlap w:val="never"/>
        <w:tblW w:w="973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8"/>
        <w:gridCol w:w="1620"/>
        <w:gridCol w:w="1695"/>
        <w:gridCol w:w="53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6" w:hRule="atLeast"/>
        </w:trPr>
        <w:tc>
          <w:tcPr>
            <w:tcW w:w="1038" w:type="dxa"/>
            <w:tcBorders>
              <w:bottom w:val="single" w:color="000000" w:sz="2" w:space="0"/>
            </w:tcBorders>
            <w:vAlign w:val="center"/>
          </w:tcPr>
          <w:p>
            <w:pPr>
              <w:spacing w:before="69" w:line="184" w:lineRule="auto"/>
              <w:jc w:val="center"/>
              <w:rPr>
                <w:rFonts w:ascii="微软雅黑" w:hAnsi="微软雅黑" w:eastAsia="微软雅黑" w:cs="微软雅黑"/>
                <w:spacing w:val="-1"/>
                <w:sz w:val="16"/>
                <w:szCs w:val="16"/>
              </w:rPr>
            </w:pPr>
            <w:r>
              <w:rPr>
                <w:rFonts w:hint="eastAsia" w:ascii="微软雅黑" w:hAnsi="微软雅黑" w:eastAsia="微软雅黑" w:cs="微软雅黑"/>
                <w:spacing w:val="-1"/>
                <w:sz w:val="20"/>
                <w:szCs w:val="20"/>
              </w:rPr>
              <w:t>产品</w:t>
            </w:r>
          </w:p>
        </w:tc>
        <w:tc>
          <w:tcPr>
            <w:tcW w:w="3315" w:type="dxa"/>
            <w:gridSpan w:val="2"/>
            <w:vAlign w:val="center"/>
          </w:tcPr>
          <w:p>
            <w:pPr>
              <w:spacing w:before="224" w:line="459" w:lineRule="auto"/>
              <w:ind w:left="170" w:right="172" w:firstLine="10"/>
              <w:jc w:val="center"/>
              <w:rPr>
                <w:rFonts w:ascii="微软雅黑" w:hAnsi="微软雅黑" w:eastAsia="微软雅黑" w:cs="微软雅黑"/>
                <w:spacing w:val="9"/>
                <w:sz w:val="16"/>
                <w:szCs w:val="16"/>
              </w:rPr>
            </w:pPr>
            <w:r>
              <w:rPr>
                <w:rFonts w:hint="eastAsia" w:ascii="微软雅黑" w:hAnsi="微软雅黑" w:eastAsia="微软雅黑" w:cs="微软雅黑"/>
                <w:spacing w:val="9"/>
                <w:sz w:val="20"/>
                <w:szCs w:val="20"/>
              </w:rPr>
              <w:t>功能模块</w:t>
            </w:r>
          </w:p>
        </w:tc>
        <w:tc>
          <w:tcPr>
            <w:tcW w:w="5385" w:type="dxa"/>
            <w:vAlign w:val="center"/>
          </w:tcPr>
          <w:p>
            <w:pPr>
              <w:spacing w:line="183" w:lineRule="auto"/>
              <w:ind w:left="1769"/>
              <w:rPr>
                <w:rFonts w:ascii="微软雅黑" w:hAnsi="微软雅黑" w:eastAsia="微软雅黑" w:cs="微软雅黑"/>
                <w:spacing w:val="-4"/>
                <w:sz w:val="16"/>
                <w:szCs w:val="16"/>
              </w:rPr>
            </w:pPr>
            <w:r>
              <w:rPr>
                <w:rFonts w:hint="eastAsia" w:ascii="微软雅黑" w:hAnsi="微软雅黑" w:eastAsia="微软雅黑" w:cs="微软雅黑"/>
                <w:spacing w:val="-4"/>
                <w:sz w:val="20"/>
                <w:szCs w:val="20"/>
              </w:rPr>
              <w:t>资源与服务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5" w:hRule="atLeast"/>
        </w:trPr>
        <w:tc>
          <w:tcPr>
            <w:tcW w:w="1038" w:type="dxa"/>
            <w:vMerge w:val="restart"/>
            <w:tcBorders>
              <w:bottom w:val="single" w:color="000000" w:sz="2" w:space="0"/>
            </w:tcBorders>
          </w:tcPr>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2"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line="243" w:lineRule="auto"/>
            </w:pPr>
          </w:p>
          <w:p>
            <w:pPr>
              <w:spacing w:before="69" w:line="184" w:lineRule="auto"/>
              <w:ind w:left="179"/>
              <w:rPr>
                <w:rFonts w:ascii="微软雅黑" w:hAnsi="微软雅黑" w:eastAsia="微软雅黑" w:cs="微软雅黑"/>
                <w:sz w:val="16"/>
                <w:szCs w:val="16"/>
              </w:rPr>
            </w:pPr>
            <w:r>
              <w:rPr>
                <w:rFonts w:ascii="微软雅黑" w:hAnsi="微软雅黑" w:eastAsia="微软雅黑" w:cs="微软雅黑"/>
                <w:spacing w:val="-1"/>
                <w:sz w:val="16"/>
                <w:szCs w:val="16"/>
              </w:rPr>
              <w:t>舆情</w:t>
            </w:r>
            <w:r>
              <w:rPr>
                <w:rFonts w:ascii="微软雅黑" w:hAnsi="微软雅黑" w:eastAsia="微软雅黑" w:cs="微软雅黑"/>
                <w:sz w:val="16"/>
                <w:szCs w:val="16"/>
              </w:rPr>
              <w:t>服务</w:t>
            </w:r>
          </w:p>
        </w:tc>
        <w:tc>
          <w:tcPr>
            <w:tcW w:w="1620" w:type="dxa"/>
            <w:vAlign w:val="center"/>
          </w:tcPr>
          <w:p>
            <w:pPr>
              <w:spacing w:before="68" w:line="289" w:lineRule="auto"/>
              <w:ind w:right="206"/>
              <w:jc w:val="center"/>
              <w:rPr>
                <w:rFonts w:ascii="微软雅黑" w:hAnsi="微软雅黑" w:eastAsia="微软雅黑" w:cs="微软雅黑"/>
                <w:sz w:val="16"/>
                <w:szCs w:val="16"/>
              </w:rPr>
            </w:pPr>
            <w:r>
              <w:rPr>
                <w:rFonts w:ascii="微软雅黑" w:hAnsi="微软雅黑" w:eastAsia="微软雅黑" w:cs="微软雅黑"/>
                <w:spacing w:val="-1"/>
                <w:sz w:val="16"/>
                <w:szCs w:val="16"/>
              </w:rPr>
              <w:t>全</w:t>
            </w:r>
            <w:r>
              <w:rPr>
                <w:rFonts w:ascii="微软雅黑" w:hAnsi="微软雅黑" w:eastAsia="微软雅黑" w:cs="微软雅黑"/>
                <w:sz w:val="16"/>
                <w:szCs w:val="16"/>
              </w:rPr>
              <w:t>网舆情监测平台 及手机客户端</w:t>
            </w:r>
          </w:p>
        </w:tc>
        <w:tc>
          <w:tcPr>
            <w:tcW w:w="1695" w:type="dxa"/>
            <w:vAlign w:val="center"/>
          </w:tcPr>
          <w:p>
            <w:pPr>
              <w:spacing w:before="224" w:line="459" w:lineRule="auto"/>
              <w:ind w:left="170" w:right="172" w:firstLine="10"/>
              <w:jc w:val="center"/>
              <w:rPr>
                <w:rFonts w:ascii="微软雅黑" w:hAnsi="微软雅黑" w:eastAsia="微软雅黑" w:cs="微软雅黑"/>
                <w:sz w:val="19"/>
                <w:szCs w:val="19"/>
              </w:rPr>
            </w:pPr>
            <w:r>
              <w:rPr>
                <w:rFonts w:ascii="微软雅黑" w:hAnsi="微软雅黑" w:eastAsia="微软雅黑" w:cs="微软雅黑"/>
                <w:spacing w:val="9"/>
                <w:sz w:val="16"/>
                <w:szCs w:val="16"/>
              </w:rPr>
              <w:t>全网舆情监测</w:t>
            </w:r>
            <w:r>
              <w:rPr>
                <w:rFonts w:ascii="微软雅黑" w:hAnsi="微软雅黑" w:eastAsia="微软雅黑" w:cs="微软雅黑"/>
                <w:spacing w:val="5"/>
                <w:sz w:val="16"/>
                <w:szCs w:val="16"/>
              </w:rPr>
              <w:t>包括3个监</w:t>
            </w:r>
            <w:r>
              <w:rPr>
                <w:rFonts w:ascii="微软雅黑" w:hAnsi="微软雅黑" w:eastAsia="微软雅黑" w:cs="微软雅黑"/>
                <w:spacing w:val="3"/>
                <w:sz w:val="16"/>
                <w:szCs w:val="16"/>
              </w:rPr>
              <w:t>测</w:t>
            </w:r>
            <w:r>
              <w:rPr>
                <w:rFonts w:hint="eastAsia" w:ascii="微软雅黑" w:hAnsi="微软雅黑" w:eastAsia="微软雅黑" w:cs="微软雅黑"/>
                <w:sz w:val="16"/>
                <w:szCs w:val="16"/>
              </w:rPr>
              <w:t>方</w:t>
            </w:r>
            <w:r>
              <w:rPr>
                <w:rFonts w:ascii="微软雅黑" w:hAnsi="微软雅黑" w:eastAsia="微软雅黑" w:cs="微软雅黑"/>
                <w:spacing w:val="22"/>
                <w:sz w:val="16"/>
                <w:szCs w:val="16"/>
              </w:rPr>
              <w:t>案(500个</w:t>
            </w:r>
            <w:r>
              <w:rPr>
                <w:rFonts w:ascii="微软雅黑" w:hAnsi="微软雅黑" w:eastAsia="微软雅黑" w:cs="微软雅黑"/>
                <w:spacing w:val="7"/>
                <w:sz w:val="16"/>
                <w:szCs w:val="16"/>
              </w:rPr>
              <w:t>字)</w:t>
            </w:r>
          </w:p>
        </w:tc>
        <w:tc>
          <w:tcPr>
            <w:tcW w:w="5385" w:type="dxa"/>
            <w:vAlign w:val="center"/>
          </w:tcPr>
          <w:p>
            <w:pPr>
              <w:spacing w:before="69" w:line="273" w:lineRule="auto"/>
              <w:ind w:right="161"/>
              <w:rPr>
                <w:rFonts w:ascii="微软雅黑" w:hAnsi="微软雅黑" w:eastAsia="微软雅黑" w:cs="微软雅黑"/>
                <w:spacing w:val="-2"/>
                <w:sz w:val="16"/>
                <w:szCs w:val="16"/>
              </w:rPr>
            </w:pPr>
            <w:r>
              <w:rPr>
                <w:rFonts w:ascii="微软雅黑" w:hAnsi="微软雅黑" w:eastAsia="微软雅黑" w:cs="微软雅黑"/>
                <w:spacing w:val="-1"/>
                <w:sz w:val="16"/>
                <w:szCs w:val="16"/>
              </w:rPr>
              <w:t>提</w:t>
            </w:r>
            <w:r>
              <w:rPr>
                <w:rFonts w:ascii="微软雅黑" w:hAnsi="微软雅黑" w:eastAsia="微软雅黑" w:cs="微软雅黑"/>
                <w:sz w:val="16"/>
                <w:szCs w:val="16"/>
              </w:rPr>
              <w:t>供全网舆情监测系统，监测渠道包括新闻网站、论坛、博</w:t>
            </w:r>
            <w:r>
              <w:rPr>
                <w:rFonts w:ascii="微软雅黑" w:hAnsi="微软雅黑" w:eastAsia="微软雅黑" w:cs="微软雅黑"/>
                <w:spacing w:val="1"/>
                <w:sz w:val="16"/>
                <w:szCs w:val="16"/>
              </w:rPr>
              <w:t>客、</w:t>
            </w:r>
            <w:r>
              <w:rPr>
                <w:rFonts w:ascii="微软雅黑" w:hAnsi="微软雅黑" w:eastAsia="微软雅黑" w:cs="微软雅黑"/>
                <w:sz w:val="16"/>
                <w:szCs w:val="16"/>
              </w:rPr>
              <w:t>微博、微信等，在此基础上进行数据的抽取、挖掘、聚类</w:t>
            </w:r>
            <w:r>
              <w:rPr>
                <w:rFonts w:ascii="微软雅黑" w:hAnsi="微软雅黑" w:eastAsia="微软雅黑" w:cs="微软雅黑"/>
                <w:spacing w:val="1"/>
                <w:sz w:val="16"/>
                <w:szCs w:val="16"/>
              </w:rPr>
              <w:t>和</w:t>
            </w:r>
            <w:r>
              <w:rPr>
                <w:rFonts w:ascii="微软雅黑" w:hAnsi="微软雅黑" w:eastAsia="微软雅黑" w:cs="微软雅黑"/>
                <w:sz w:val="16"/>
                <w:szCs w:val="16"/>
              </w:rPr>
              <w:t>分析。用户自助在全网监测平台及手机客户端进行舆情监测</w:t>
            </w:r>
            <w:r>
              <w:rPr>
                <w:rFonts w:ascii="微软雅黑" w:hAnsi="微软雅黑" w:eastAsia="微软雅黑" w:cs="微软雅黑"/>
                <w:spacing w:val="-4"/>
                <w:sz w:val="16"/>
                <w:szCs w:val="16"/>
              </w:rPr>
              <w:t>和信息</w:t>
            </w:r>
            <w:r>
              <w:rPr>
                <w:rFonts w:ascii="微软雅黑" w:hAnsi="微软雅黑" w:eastAsia="微软雅黑" w:cs="微软雅黑"/>
                <w:spacing w:val="-2"/>
                <w:sz w:val="16"/>
                <w:szCs w:val="16"/>
              </w:rPr>
              <w:t>查看等。</w:t>
            </w:r>
          </w:p>
          <w:p>
            <w:pPr>
              <w:spacing w:before="69" w:line="273" w:lineRule="auto"/>
              <w:ind w:right="161"/>
              <w:rPr>
                <w:rFonts w:ascii="微软雅黑" w:hAnsi="微软雅黑" w:eastAsia="微软雅黑" w:cs="微软雅黑"/>
                <w:spacing w:val="-2"/>
                <w:sz w:val="16"/>
                <w:szCs w:val="16"/>
              </w:rPr>
            </w:pPr>
            <w:r>
              <w:rPr>
                <w:rFonts w:hint="eastAsia" w:ascii="微软雅黑" w:hAnsi="微软雅黑" w:eastAsia="微软雅黑" w:cs="微软雅黑"/>
                <w:spacing w:val="-2"/>
                <w:sz w:val="16"/>
                <w:szCs w:val="16"/>
              </w:rPr>
              <w:t>关键字个数</w:t>
            </w:r>
            <w:r>
              <w:rPr>
                <w:rFonts w:ascii="微软雅黑" w:hAnsi="微软雅黑" w:eastAsia="微软雅黑" w:cs="微软雅黑"/>
                <w:spacing w:val="-2"/>
                <w:sz w:val="16"/>
                <w:szCs w:val="16"/>
              </w:rPr>
              <w:t>：</w:t>
            </w:r>
            <w:r>
              <w:rPr>
                <w:rFonts w:hint="eastAsia" w:ascii="微软雅黑" w:hAnsi="微软雅黑" w:eastAsia="微软雅黑" w:cs="微软雅黑"/>
                <w:spacing w:val="-2"/>
                <w:sz w:val="16"/>
                <w:szCs w:val="16"/>
              </w:rPr>
              <w:t>不低于100个</w:t>
            </w:r>
          </w:p>
          <w:p>
            <w:pPr>
              <w:spacing w:before="69" w:line="273" w:lineRule="auto"/>
              <w:ind w:right="161"/>
              <w:rPr>
                <w:rFonts w:ascii="微软雅黑" w:hAnsi="微软雅黑" w:eastAsia="微软雅黑" w:cs="微软雅黑"/>
                <w:sz w:val="16"/>
                <w:szCs w:val="16"/>
              </w:rPr>
            </w:pPr>
            <w:r>
              <w:rPr>
                <w:rFonts w:hint="eastAsia" w:ascii="微软雅黑" w:hAnsi="微软雅黑" w:eastAsia="微软雅黑" w:cs="微软雅黑"/>
                <w:spacing w:val="-2"/>
                <w:sz w:val="16"/>
                <w:szCs w:val="16"/>
              </w:rPr>
              <w:t>监测</w:t>
            </w:r>
            <w:r>
              <w:rPr>
                <w:rFonts w:ascii="微软雅黑" w:hAnsi="微软雅黑" w:eastAsia="微软雅黑" w:cs="微软雅黑"/>
                <w:spacing w:val="-2"/>
                <w:sz w:val="16"/>
                <w:szCs w:val="16"/>
              </w:rPr>
              <w:t>能力要求覆盖文本、图片、视频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038" w:type="dxa"/>
            <w:vMerge w:val="continue"/>
            <w:tcBorders>
              <w:top w:val="single" w:color="000000" w:sz="2" w:space="0"/>
              <w:bottom w:val="single" w:color="000000" w:sz="2" w:space="0"/>
            </w:tcBorders>
          </w:tcPr>
          <w:p/>
        </w:tc>
        <w:tc>
          <w:tcPr>
            <w:tcW w:w="1620" w:type="dxa"/>
            <w:vMerge w:val="restart"/>
            <w:tcBorders>
              <w:bottom w:val="nil"/>
            </w:tcBorders>
          </w:tcPr>
          <w:p>
            <w:pPr>
              <w:spacing w:line="257" w:lineRule="auto"/>
            </w:pPr>
          </w:p>
          <w:p>
            <w:pPr>
              <w:spacing w:line="257" w:lineRule="auto"/>
            </w:pPr>
          </w:p>
          <w:p>
            <w:pPr>
              <w:spacing w:line="257" w:lineRule="auto"/>
            </w:pPr>
          </w:p>
          <w:p>
            <w:pPr>
              <w:spacing w:line="257" w:lineRule="auto"/>
            </w:pPr>
          </w:p>
          <w:p>
            <w:pPr>
              <w:spacing w:before="68" w:line="183" w:lineRule="auto"/>
              <w:ind w:left="535"/>
              <w:rPr>
                <w:rFonts w:ascii="微软雅黑" w:hAnsi="微软雅黑" w:eastAsia="微软雅黑" w:cs="微软雅黑"/>
                <w:sz w:val="16"/>
                <w:szCs w:val="16"/>
              </w:rPr>
            </w:pPr>
            <w:r>
              <w:rPr>
                <w:rFonts w:ascii="微软雅黑" w:hAnsi="微软雅黑" w:eastAsia="微软雅黑" w:cs="微软雅黑"/>
                <w:spacing w:val="-2"/>
                <w:sz w:val="16"/>
                <w:szCs w:val="16"/>
              </w:rPr>
              <w:t>常</w:t>
            </w:r>
            <w:r>
              <w:rPr>
                <w:rFonts w:ascii="微软雅黑" w:hAnsi="微软雅黑" w:eastAsia="微软雅黑" w:cs="微软雅黑"/>
                <w:spacing w:val="-1"/>
                <w:sz w:val="16"/>
                <w:szCs w:val="16"/>
              </w:rPr>
              <w:t>规报告</w:t>
            </w:r>
          </w:p>
        </w:tc>
        <w:tc>
          <w:tcPr>
            <w:tcW w:w="1695" w:type="dxa"/>
            <w:vAlign w:val="center"/>
          </w:tcPr>
          <w:p>
            <w:pPr>
              <w:spacing w:before="69" w:line="184" w:lineRule="auto"/>
              <w:jc w:val="center"/>
              <w:rPr>
                <w:rFonts w:ascii="微软雅黑" w:hAnsi="微软雅黑" w:eastAsia="微软雅黑" w:cs="微软雅黑"/>
                <w:sz w:val="16"/>
                <w:szCs w:val="16"/>
              </w:rPr>
            </w:pPr>
            <w:r>
              <w:rPr>
                <w:rFonts w:ascii="微软雅黑" w:hAnsi="微软雅黑" w:eastAsia="微软雅黑" w:cs="微软雅黑"/>
                <w:spacing w:val="-1"/>
                <w:sz w:val="16"/>
                <w:szCs w:val="16"/>
              </w:rPr>
              <w:t>舆情分</w:t>
            </w:r>
            <w:r>
              <w:rPr>
                <w:rFonts w:ascii="微软雅黑" w:hAnsi="微软雅黑" w:eastAsia="微软雅黑" w:cs="微软雅黑"/>
                <w:sz w:val="16"/>
                <w:szCs w:val="16"/>
              </w:rPr>
              <w:t>析周报</w:t>
            </w:r>
          </w:p>
        </w:tc>
        <w:tc>
          <w:tcPr>
            <w:tcW w:w="5385" w:type="dxa"/>
            <w:vAlign w:val="center"/>
          </w:tcPr>
          <w:p>
            <w:pPr>
              <w:spacing w:before="84" w:line="184" w:lineRule="auto"/>
              <w:rPr>
                <w:rFonts w:ascii="微软雅黑" w:hAnsi="微软雅黑" w:eastAsia="微软雅黑" w:cs="微软雅黑"/>
                <w:sz w:val="16"/>
                <w:szCs w:val="16"/>
              </w:rPr>
            </w:pPr>
            <w:r>
              <w:rPr>
                <w:rFonts w:ascii="微软雅黑" w:hAnsi="微软雅黑" w:eastAsia="微软雅黑" w:cs="微软雅黑"/>
                <w:spacing w:val="1"/>
                <w:sz w:val="16"/>
                <w:szCs w:val="16"/>
              </w:rPr>
              <w:t>汇</w:t>
            </w:r>
            <w:r>
              <w:rPr>
                <w:rFonts w:ascii="微软雅黑" w:hAnsi="微软雅黑" w:eastAsia="微软雅黑" w:cs="微软雅黑"/>
                <w:sz w:val="16"/>
                <w:szCs w:val="16"/>
              </w:rPr>
              <w:t>总每周区域内相关信息传播情况，包括整体趋势、媒体监测情况、周热点、舆论重点等方面。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2" w:hRule="atLeast"/>
        </w:trPr>
        <w:tc>
          <w:tcPr>
            <w:tcW w:w="1038" w:type="dxa"/>
            <w:vMerge w:val="continue"/>
            <w:tcBorders>
              <w:top w:val="single" w:color="000000" w:sz="2" w:space="0"/>
              <w:bottom w:val="single" w:color="000000" w:sz="2" w:space="0"/>
            </w:tcBorders>
          </w:tcPr>
          <w:p/>
        </w:tc>
        <w:tc>
          <w:tcPr>
            <w:tcW w:w="1620" w:type="dxa"/>
            <w:vMerge w:val="continue"/>
          </w:tcPr>
          <w:p>
            <w:pPr>
              <w:spacing w:before="68" w:line="183" w:lineRule="auto"/>
              <w:ind w:left="535"/>
              <w:rPr>
                <w:rFonts w:ascii="微软雅黑" w:hAnsi="微软雅黑" w:eastAsia="微软雅黑" w:cs="微软雅黑"/>
                <w:spacing w:val="-2"/>
                <w:sz w:val="16"/>
                <w:szCs w:val="16"/>
              </w:rPr>
            </w:pPr>
          </w:p>
        </w:tc>
        <w:tc>
          <w:tcPr>
            <w:tcW w:w="1695" w:type="dxa"/>
            <w:vAlign w:val="center"/>
          </w:tcPr>
          <w:p>
            <w:pPr>
              <w:spacing w:before="69" w:line="184" w:lineRule="auto"/>
              <w:jc w:val="center"/>
              <w:rPr>
                <w:rFonts w:ascii="微软雅黑" w:hAnsi="微软雅黑" w:eastAsia="微软雅黑" w:cs="微软雅黑"/>
                <w:spacing w:val="-1"/>
                <w:sz w:val="16"/>
                <w:szCs w:val="16"/>
              </w:rPr>
            </w:pPr>
            <w:r>
              <w:rPr>
                <w:rFonts w:ascii="微软雅黑" w:hAnsi="微软雅黑" w:eastAsia="微软雅黑" w:cs="微软雅黑"/>
                <w:spacing w:val="-1"/>
                <w:sz w:val="16"/>
                <w:szCs w:val="16"/>
              </w:rPr>
              <w:t>舆情分</w:t>
            </w:r>
            <w:r>
              <w:rPr>
                <w:rFonts w:ascii="微软雅黑" w:hAnsi="微软雅黑" w:eastAsia="微软雅黑" w:cs="微软雅黑"/>
                <w:sz w:val="16"/>
                <w:szCs w:val="16"/>
              </w:rPr>
              <w:t>析</w:t>
            </w:r>
            <w:r>
              <w:rPr>
                <w:rFonts w:hint="eastAsia" w:ascii="微软雅黑" w:hAnsi="微软雅黑" w:eastAsia="微软雅黑" w:cs="微软雅黑"/>
                <w:sz w:val="16"/>
                <w:szCs w:val="16"/>
              </w:rPr>
              <w:t>月</w:t>
            </w:r>
            <w:r>
              <w:rPr>
                <w:rFonts w:ascii="微软雅黑" w:hAnsi="微软雅黑" w:eastAsia="微软雅黑" w:cs="微软雅黑"/>
                <w:sz w:val="16"/>
                <w:szCs w:val="16"/>
              </w:rPr>
              <w:t>报</w:t>
            </w:r>
          </w:p>
        </w:tc>
        <w:tc>
          <w:tcPr>
            <w:tcW w:w="5385" w:type="dxa"/>
            <w:vAlign w:val="center"/>
          </w:tcPr>
          <w:p>
            <w:pPr>
              <w:spacing w:before="84" w:line="184" w:lineRule="auto"/>
              <w:rPr>
                <w:rFonts w:ascii="微软雅黑" w:hAnsi="微软雅黑" w:eastAsia="微软雅黑" w:cs="微软雅黑"/>
                <w:spacing w:val="1"/>
                <w:sz w:val="16"/>
                <w:szCs w:val="16"/>
              </w:rPr>
            </w:pPr>
            <w:r>
              <w:rPr>
                <w:rFonts w:ascii="微软雅黑" w:hAnsi="微软雅黑" w:eastAsia="微软雅黑" w:cs="微软雅黑"/>
                <w:spacing w:val="1"/>
                <w:sz w:val="16"/>
                <w:szCs w:val="16"/>
              </w:rPr>
              <w:t>汇</w:t>
            </w:r>
            <w:r>
              <w:rPr>
                <w:rFonts w:ascii="微软雅黑" w:hAnsi="微软雅黑" w:eastAsia="微软雅黑" w:cs="微软雅黑"/>
                <w:sz w:val="16"/>
                <w:szCs w:val="16"/>
              </w:rPr>
              <w:t>总每</w:t>
            </w:r>
            <w:r>
              <w:rPr>
                <w:rFonts w:hint="eastAsia" w:ascii="微软雅黑" w:hAnsi="微软雅黑" w:eastAsia="微软雅黑" w:cs="微软雅黑"/>
                <w:sz w:val="16"/>
                <w:szCs w:val="16"/>
              </w:rPr>
              <w:t>月</w:t>
            </w:r>
            <w:r>
              <w:rPr>
                <w:rFonts w:ascii="微软雅黑" w:hAnsi="微软雅黑" w:eastAsia="微软雅黑" w:cs="微软雅黑"/>
                <w:sz w:val="16"/>
                <w:szCs w:val="16"/>
              </w:rPr>
              <w:t>区域内相关信息传播情况，包括整体趋势、媒体监测情况、周热点、舆论重点等方面。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1038" w:type="dxa"/>
            <w:vMerge w:val="continue"/>
            <w:tcBorders>
              <w:top w:val="single" w:color="000000" w:sz="2" w:space="0"/>
              <w:bottom w:val="single" w:color="000000" w:sz="2" w:space="0"/>
            </w:tcBorders>
          </w:tcPr>
          <w:p/>
        </w:tc>
        <w:tc>
          <w:tcPr>
            <w:tcW w:w="1620" w:type="dxa"/>
            <w:vMerge w:val="continue"/>
            <w:tcBorders>
              <w:top w:val="nil"/>
              <w:bottom w:val="nil"/>
            </w:tcBorders>
          </w:tcPr>
          <w:p/>
        </w:tc>
        <w:tc>
          <w:tcPr>
            <w:tcW w:w="1695" w:type="dxa"/>
            <w:vAlign w:val="center"/>
          </w:tcPr>
          <w:p>
            <w:pPr>
              <w:spacing w:before="69" w:line="184" w:lineRule="auto"/>
              <w:jc w:val="center"/>
              <w:rPr>
                <w:rFonts w:ascii="微软雅黑" w:hAnsi="微软雅黑" w:eastAsia="微软雅黑" w:cs="微软雅黑"/>
                <w:sz w:val="16"/>
                <w:szCs w:val="16"/>
              </w:rPr>
            </w:pPr>
            <w:r>
              <w:rPr>
                <w:rFonts w:ascii="微软雅黑" w:hAnsi="微软雅黑" w:eastAsia="微软雅黑" w:cs="微软雅黑"/>
                <w:spacing w:val="-1"/>
                <w:sz w:val="16"/>
                <w:szCs w:val="16"/>
              </w:rPr>
              <w:t>舆情</w:t>
            </w:r>
            <w:r>
              <w:rPr>
                <w:rFonts w:ascii="微软雅黑" w:hAnsi="微软雅黑" w:eastAsia="微软雅黑" w:cs="微软雅黑"/>
                <w:sz w:val="16"/>
                <w:szCs w:val="16"/>
              </w:rPr>
              <w:t>分析半年报</w:t>
            </w:r>
          </w:p>
        </w:tc>
        <w:tc>
          <w:tcPr>
            <w:tcW w:w="5385" w:type="dxa"/>
            <w:vMerge w:val="restart"/>
            <w:tcBorders>
              <w:bottom w:val="nil"/>
            </w:tcBorders>
            <w:vAlign w:val="center"/>
          </w:tcPr>
          <w:p>
            <w:pPr>
              <w:spacing w:before="130" w:line="226" w:lineRule="auto"/>
              <w:rPr>
                <w:rFonts w:ascii="微软雅黑" w:hAnsi="微软雅黑" w:eastAsia="微软雅黑" w:cs="微软雅黑"/>
                <w:sz w:val="16"/>
                <w:szCs w:val="16"/>
              </w:rPr>
            </w:pPr>
            <w:r>
              <w:rPr>
                <w:rFonts w:ascii="微软雅黑" w:hAnsi="微软雅黑" w:eastAsia="微软雅黑" w:cs="微软雅黑"/>
                <w:spacing w:val="1"/>
                <w:sz w:val="16"/>
                <w:szCs w:val="16"/>
              </w:rPr>
              <w:t>根据系</w:t>
            </w:r>
            <w:r>
              <w:rPr>
                <w:rFonts w:ascii="微软雅黑" w:hAnsi="微软雅黑" w:eastAsia="微软雅黑" w:cs="微软雅黑"/>
                <w:sz w:val="16"/>
                <w:szCs w:val="16"/>
              </w:rPr>
              <w:t>统监测结果，由舆情分析师对区域内全网数据进行半年\</w:t>
            </w:r>
            <w:r>
              <w:rPr>
                <w:rFonts w:ascii="微软雅黑" w:hAnsi="微软雅黑" w:eastAsia="微软雅黑" w:cs="微软雅黑"/>
                <w:spacing w:val="-1"/>
                <w:sz w:val="16"/>
                <w:szCs w:val="16"/>
              </w:rPr>
              <w:t>全年情况分析总结，行程报告。主要</w:t>
            </w:r>
            <w:r>
              <w:rPr>
                <w:rFonts w:ascii="微软雅黑" w:hAnsi="微软雅黑" w:eastAsia="微软雅黑" w:cs="微软雅黑"/>
                <w:sz w:val="16"/>
                <w:szCs w:val="16"/>
              </w:rPr>
              <w:t>包括区域舆情发展特点、</w:t>
            </w:r>
            <w:r>
              <w:rPr>
                <w:rFonts w:ascii="微软雅黑" w:hAnsi="微软雅黑" w:eastAsia="微软雅黑" w:cs="微软雅黑"/>
                <w:spacing w:val="1"/>
                <w:sz w:val="16"/>
                <w:szCs w:val="16"/>
              </w:rPr>
              <w:t>媒</w:t>
            </w:r>
            <w:r>
              <w:rPr>
                <w:rFonts w:ascii="微软雅黑" w:hAnsi="微软雅黑" w:eastAsia="微软雅黑" w:cs="微软雅黑"/>
                <w:sz w:val="16"/>
                <w:szCs w:val="16"/>
              </w:rPr>
              <w:t>体监控情况、重点舆情事件分析等。用于</w:t>
            </w:r>
            <w:r>
              <w:rPr>
                <w:rFonts w:hint="eastAsia" w:ascii="微软雅黑" w:hAnsi="微软雅黑" w:eastAsia="微软雅黑" w:cs="微软雅黑"/>
                <w:sz w:val="16"/>
                <w:szCs w:val="16"/>
              </w:rPr>
              <w:t>相关</w:t>
            </w:r>
            <w:r>
              <w:rPr>
                <w:rFonts w:ascii="微软雅黑" w:hAnsi="微软雅黑" w:eastAsia="微软雅黑" w:cs="微软雅黑"/>
                <w:sz w:val="16"/>
                <w:szCs w:val="16"/>
              </w:rPr>
              <w:t>机构/</w:t>
            </w:r>
            <w:r>
              <w:rPr>
                <w:rFonts w:hint="eastAsia" w:ascii="微软雅黑" w:hAnsi="微软雅黑" w:eastAsia="微软雅黑" w:cs="微软雅黑"/>
                <w:sz w:val="16"/>
                <w:szCs w:val="16"/>
              </w:rPr>
              <w:t>单位</w:t>
            </w:r>
            <w:r>
              <w:rPr>
                <w:rFonts w:ascii="微软雅黑" w:hAnsi="微软雅黑" w:eastAsia="微软雅黑" w:cs="微软雅黑"/>
                <w:sz w:val="16"/>
                <w:szCs w:val="16"/>
              </w:rPr>
              <w:t>做阶段性</w:t>
            </w:r>
            <w:r>
              <w:rPr>
                <w:rFonts w:ascii="微软雅黑" w:hAnsi="微软雅黑" w:eastAsia="微软雅黑" w:cs="微软雅黑"/>
                <w:spacing w:val="-2"/>
                <w:sz w:val="16"/>
                <w:szCs w:val="16"/>
              </w:rPr>
              <w:t>工作</w:t>
            </w:r>
            <w:r>
              <w:rPr>
                <w:rFonts w:ascii="微软雅黑" w:hAnsi="微软雅黑" w:eastAsia="微软雅黑" w:cs="微软雅黑"/>
                <w:spacing w:val="-1"/>
                <w:sz w:val="16"/>
                <w:szCs w:val="16"/>
              </w:rPr>
              <w:t>总结，为日后工作提供参考资料。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5" w:hRule="atLeast"/>
        </w:trPr>
        <w:tc>
          <w:tcPr>
            <w:tcW w:w="1038" w:type="dxa"/>
            <w:vMerge w:val="continue"/>
            <w:tcBorders>
              <w:top w:val="single" w:color="000000" w:sz="2" w:space="0"/>
              <w:bottom w:val="single" w:color="000000" w:sz="2" w:space="0"/>
            </w:tcBorders>
          </w:tcPr>
          <w:p/>
        </w:tc>
        <w:tc>
          <w:tcPr>
            <w:tcW w:w="1620" w:type="dxa"/>
            <w:vMerge w:val="continue"/>
            <w:tcBorders>
              <w:top w:val="nil"/>
            </w:tcBorders>
          </w:tcPr>
          <w:p/>
        </w:tc>
        <w:tc>
          <w:tcPr>
            <w:tcW w:w="1695" w:type="dxa"/>
            <w:vAlign w:val="center"/>
          </w:tcPr>
          <w:p>
            <w:pPr>
              <w:spacing w:before="84" w:line="184" w:lineRule="auto"/>
              <w:ind w:left="302"/>
              <w:rPr>
                <w:rFonts w:ascii="微软雅黑" w:hAnsi="微软雅黑" w:eastAsia="微软雅黑" w:cs="微软雅黑"/>
                <w:sz w:val="16"/>
                <w:szCs w:val="16"/>
              </w:rPr>
            </w:pPr>
            <w:r>
              <w:rPr>
                <w:rFonts w:ascii="微软雅黑" w:hAnsi="微软雅黑" w:eastAsia="微软雅黑" w:cs="微软雅黑"/>
                <w:spacing w:val="-1"/>
                <w:sz w:val="16"/>
                <w:szCs w:val="16"/>
              </w:rPr>
              <w:t>舆情分</w:t>
            </w:r>
            <w:r>
              <w:rPr>
                <w:rFonts w:ascii="微软雅黑" w:hAnsi="微软雅黑" w:eastAsia="微软雅黑" w:cs="微软雅黑"/>
                <w:sz w:val="16"/>
                <w:szCs w:val="16"/>
              </w:rPr>
              <w:t>析年报</w:t>
            </w:r>
          </w:p>
        </w:tc>
        <w:tc>
          <w:tcPr>
            <w:tcW w:w="5385" w:type="dxa"/>
            <w:vMerge w:val="continue"/>
            <w:tcBorders>
              <w:top w:val="nil"/>
            </w:tcBorders>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trPr>
        <w:tc>
          <w:tcPr>
            <w:tcW w:w="1038" w:type="dxa"/>
            <w:vMerge w:val="continue"/>
            <w:tcBorders>
              <w:top w:val="single" w:color="000000" w:sz="2" w:space="0"/>
              <w:bottom w:val="single" w:color="000000" w:sz="2" w:space="0"/>
            </w:tcBorders>
          </w:tcPr>
          <w:p/>
        </w:tc>
        <w:tc>
          <w:tcPr>
            <w:tcW w:w="1620" w:type="dxa"/>
          </w:tcPr>
          <w:p>
            <w:pPr>
              <w:spacing w:line="326" w:lineRule="auto"/>
            </w:pPr>
          </w:p>
          <w:p>
            <w:pPr>
              <w:spacing w:before="69" w:line="183" w:lineRule="auto"/>
              <w:ind w:left="369"/>
              <w:rPr>
                <w:rFonts w:ascii="微软雅黑" w:hAnsi="微软雅黑" w:eastAsia="微软雅黑" w:cs="微软雅黑"/>
                <w:sz w:val="16"/>
                <w:szCs w:val="16"/>
              </w:rPr>
            </w:pPr>
            <w:r>
              <w:rPr>
                <w:rFonts w:ascii="微软雅黑" w:hAnsi="微软雅黑" w:eastAsia="微软雅黑" w:cs="微软雅黑"/>
                <w:spacing w:val="-1"/>
                <w:sz w:val="16"/>
                <w:szCs w:val="16"/>
              </w:rPr>
              <w:t>专项</w:t>
            </w:r>
            <w:r>
              <w:rPr>
                <w:rFonts w:ascii="微软雅黑" w:hAnsi="微软雅黑" w:eastAsia="微软雅黑" w:cs="微软雅黑"/>
                <w:sz w:val="16"/>
                <w:szCs w:val="16"/>
              </w:rPr>
              <w:t>舆情报告</w:t>
            </w:r>
          </w:p>
        </w:tc>
        <w:tc>
          <w:tcPr>
            <w:tcW w:w="1695" w:type="dxa"/>
          </w:tcPr>
          <w:p>
            <w:pPr>
              <w:spacing w:line="326" w:lineRule="auto"/>
            </w:pPr>
          </w:p>
          <w:p>
            <w:pPr>
              <w:spacing w:before="69" w:line="183" w:lineRule="auto"/>
              <w:ind w:left="379"/>
              <w:rPr>
                <w:rFonts w:ascii="微软雅黑" w:hAnsi="微软雅黑" w:eastAsia="微软雅黑" w:cs="微软雅黑"/>
                <w:sz w:val="16"/>
                <w:szCs w:val="16"/>
              </w:rPr>
            </w:pPr>
            <w:r>
              <w:rPr>
                <w:rFonts w:ascii="微软雅黑" w:hAnsi="微软雅黑" w:eastAsia="微软雅黑" w:cs="微软雅黑"/>
                <w:sz w:val="16"/>
                <w:szCs w:val="16"/>
              </w:rPr>
              <w:t>大事件报告</w:t>
            </w:r>
          </w:p>
        </w:tc>
        <w:tc>
          <w:tcPr>
            <w:tcW w:w="5385" w:type="dxa"/>
            <w:vAlign w:val="center"/>
          </w:tcPr>
          <w:p>
            <w:pPr>
              <w:spacing w:before="84" w:line="184" w:lineRule="auto"/>
              <w:rPr>
                <w:rFonts w:ascii="微软雅黑" w:hAnsi="微软雅黑" w:eastAsia="微软雅黑" w:cs="微软雅黑"/>
                <w:sz w:val="16"/>
                <w:szCs w:val="16"/>
              </w:rPr>
            </w:pPr>
            <w:r>
              <w:rPr>
                <w:rFonts w:ascii="微软雅黑" w:hAnsi="微软雅黑" w:eastAsia="微软雅黑" w:cs="微软雅黑"/>
                <w:spacing w:val="-6"/>
                <w:sz w:val="16"/>
                <w:szCs w:val="16"/>
              </w:rPr>
              <w:t>监测大</w:t>
            </w:r>
            <w:r>
              <w:rPr>
                <w:rFonts w:ascii="微软雅黑" w:hAnsi="微软雅黑" w:eastAsia="微软雅黑" w:cs="微软雅黑"/>
                <w:spacing w:val="-3"/>
                <w:sz w:val="16"/>
                <w:szCs w:val="16"/>
              </w:rPr>
              <w:t>事件发展趋势及舆论走向；分析大事件的传播路径和核</w:t>
            </w:r>
            <w:r>
              <w:rPr>
                <w:rFonts w:ascii="微软雅黑" w:hAnsi="微软雅黑" w:eastAsia="微软雅黑" w:cs="微软雅黑"/>
                <w:spacing w:val="-6"/>
                <w:sz w:val="16"/>
                <w:szCs w:val="16"/>
              </w:rPr>
              <w:t>心传</w:t>
            </w:r>
            <w:r>
              <w:rPr>
                <w:rFonts w:ascii="微软雅黑" w:hAnsi="微软雅黑" w:eastAsia="微软雅黑" w:cs="微软雅黑"/>
                <w:spacing w:val="-5"/>
                <w:sz w:val="16"/>
                <w:szCs w:val="16"/>
              </w:rPr>
              <w:t>播</w:t>
            </w:r>
            <w:r>
              <w:rPr>
                <w:rFonts w:ascii="微软雅黑" w:hAnsi="微软雅黑" w:eastAsia="微软雅黑" w:cs="微软雅黑"/>
                <w:spacing w:val="-3"/>
                <w:sz w:val="16"/>
                <w:szCs w:val="16"/>
              </w:rPr>
              <w:t>用户；给危机公关提供有力数据支持，有效预防，疏导</w:t>
            </w:r>
            <w:r>
              <w:rPr>
                <w:rFonts w:ascii="微软雅黑" w:hAnsi="微软雅黑" w:eastAsia="微软雅黑" w:cs="微软雅黑"/>
                <w:spacing w:val="1"/>
                <w:sz w:val="16"/>
                <w:szCs w:val="16"/>
              </w:rPr>
              <w:t>危</w:t>
            </w:r>
            <w:r>
              <w:rPr>
                <w:rFonts w:ascii="微软雅黑" w:hAnsi="微软雅黑" w:eastAsia="微软雅黑" w:cs="微软雅黑"/>
                <w:sz w:val="16"/>
                <w:szCs w:val="16"/>
              </w:rPr>
              <w:t>机事件。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764" w:hRule="atLeast"/>
        </w:trPr>
        <w:tc>
          <w:tcPr>
            <w:tcW w:w="1038" w:type="dxa"/>
            <w:vMerge w:val="continue"/>
            <w:tcBorders>
              <w:top w:val="single" w:color="000000" w:sz="2" w:space="0"/>
              <w:bottom w:val="single" w:color="000000" w:sz="2" w:space="0"/>
            </w:tcBorders>
          </w:tcPr>
          <w:p/>
        </w:tc>
        <w:tc>
          <w:tcPr>
            <w:tcW w:w="1620" w:type="dxa"/>
            <w:vMerge w:val="restart"/>
            <w:vAlign w:val="center"/>
          </w:tcPr>
          <w:p>
            <w:pPr>
              <w:spacing w:before="69" w:line="183" w:lineRule="auto"/>
              <w:jc w:val="center"/>
              <w:rPr>
                <w:rFonts w:ascii="微软雅黑" w:hAnsi="微软雅黑" w:eastAsia="微软雅黑" w:cs="微软雅黑"/>
                <w:spacing w:val="-1"/>
                <w:sz w:val="16"/>
                <w:szCs w:val="16"/>
              </w:rPr>
            </w:pPr>
            <w:r>
              <w:rPr>
                <w:rFonts w:hint="eastAsia" w:ascii="微软雅黑" w:hAnsi="微软雅黑" w:eastAsia="微软雅黑" w:cs="微软雅黑"/>
                <w:spacing w:val="-1"/>
                <w:sz w:val="16"/>
                <w:szCs w:val="16"/>
              </w:rPr>
              <w:t>危机应对</w:t>
            </w:r>
          </w:p>
        </w:tc>
        <w:tc>
          <w:tcPr>
            <w:tcW w:w="1695" w:type="dxa"/>
            <w:vAlign w:val="center"/>
          </w:tcPr>
          <w:p>
            <w:pPr>
              <w:spacing w:before="69" w:line="184" w:lineRule="auto"/>
              <w:ind w:left="300"/>
              <w:rPr>
                <w:rFonts w:ascii="微软雅黑" w:hAnsi="微软雅黑" w:eastAsia="微软雅黑" w:cs="微软雅黑"/>
                <w:sz w:val="16"/>
                <w:szCs w:val="16"/>
              </w:rPr>
            </w:pPr>
            <w:r>
              <w:rPr>
                <w:rFonts w:ascii="微软雅黑" w:hAnsi="微软雅黑" w:eastAsia="微软雅黑" w:cs="微软雅黑"/>
                <w:sz w:val="16"/>
                <w:szCs w:val="16"/>
              </w:rPr>
              <w:t>人工预警服务</w:t>
            </w:r>
          </w:p>
          <w:p>
            <w:pPr>
              <w:spacing w:before="69" w:line="183" w:lineRule="auto"/>
              <w:jc w:val="center"/>
              <w:rPr>
                <w:rFonts w:ascii="微软雅黑" w:hAnsi="微软雅黑" w:eastAsia="微软雅黑" w:cs="微软雅黑"/>
                <w:sz w:val="16"/>
                <w:szCs w:val="16"/>
              </w:rPr>
            </w:pPr>
            <w:r>
              <w:rPr>
                <w:rFonts w:ascii="微软雅黑" w:hAnsi="微软雅黑" w:eastAsia="微软雅黑" w:cs="微软雅黑"/>
                <w:spacing w:val="2"/>
                <w:sz w:val="16"/>
                <w:szCs w:val="16"/>
              </w:rPr>
              <w:t>(短</w:t>
            </w:r>
            <w:r>
              <w:rPr>
                <w:rFonts w:ascii="微软雅黑" w:hAnsi="微软雅黑" w:eastAsia="微软雅黑" w:cs="微软雅黑"/>
                <w:spacing w:val="1"/>
                <w:sz w:val="16"/>
                <w:szCs w:val="16"/>
              </w:rPr>
              <w:t>信)</w:t>
            </w:r>
          </w:p>
        </w:tc>
        <w:tc>
          <w:tcPr>
            <w:tcW w:w="5385" w:type="dxa"/>
            <w:vAlign w:val="center"/>
          </w:tcPr>
          <w:p>
            <w:pPr>
              <w:spacing w:before="100" w:line="229" w:lineRule="auto"/>
              <w:ind w:right="161"/>
              <w:rPr>
                <w:rFonts w:ascii="微软雅黑" w:hAnsi="微软雅黑" w:eastAsia="微软雅黑" w:cs="微软雅黑"/>
                <w:spacing w:val="-6"/>
                <w:sz w:val="16"/>
                <w:szCs w:val="16"/>
              </w:rPr>
            </w:pPr>
            <w:r>
              <w:rPr>
                <w:rFonts w:hint="eastAsia" w:ascii="微软雅黑" w:hAnsi="微软雅黑" w:eastAsia="微软雅黑" w:cs="微软雅黑"/>
                <w:spacing w:val="-6"/>
                <w:sz w:val="16"/>
                <w:szCs w:val="16"/>
              </w:rPr>
              <w:t>根据客户提供的关键词方案进行数据监测</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同时人工参与监测</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将区域内发生的热点事件</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舆情危机隐患由人工实时进行甄别</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将有价值信息</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并通过短信形式发送给指定人员</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帮助发现舆情或了解区域内百姓关注热点</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预警时间</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工作日</w:t>
            </w:r>
            <w:r>
              <w:rPr>
                <w:rFonts w:ascii="微软雅黑" w:hAnsi="微软雅黑" w:eastAsia="微软雅黑" w:cs="微软雅黑"/>
                <w:spacing w:val="-6"/>
                <w:sz w:val="16"/>
                <w:szCs w:val="16"/>
              </w:rPr>
              <w:t>（</w:t>
            </w:r>
            <w:r>
              <w:rPr>
                <w:rFonts w:hint="eastAsia" w:ascii="微软雅黑" w:hAnsi="微软雅黑" w:eastAsia="微软雅黑" w:cs="微软雅黑"/>
                <w:spacing w:val="-6"/>
                <w:sz w:val="16"/>
                <w:szCs w:val="16"/>
              </w:rPr>
              <w:t>工作时间为早</w:t>
            </w:r>
            <w:r>
              <w:rPr>
                <w:rFonts w:ascii="微软雅黑" w:hAnsi="微软雅黑" w:eastAsia="微软雅黑" w:cs="微软雅黑"/>
                <w:spacing w:val="-6"/>
                <w:sz w:val="16"/>
                <w:szCs w:val="16"/>
              </w:rPr>
              <w:t>09</w:t>
            </w:r>
            <w:r>
              <w:rPr>
                <w:rFonts w:hint="eastAsia" w:ascii="微软雅黑" w:hAnsi="微软雅黑" w:eastAsia="微软雅黑" w:cs="微软雅黑"/>
                <w:spacing w:val="-6"/>
                <w:sz w:val="16"/>
                <w:szCs w:val="16"/>
              </w:rPr>
              <w:t>:</w:t>
            </w:r>
            <w:r>
              <w:rPr>
                <w:rFonts w:ascii="微软雅黑" w:hAnsi="微软雅黑" w:eastAsia="微软雅黑" w:cs="微软雅黑"/>
                <w:spacing w:val="-6"/>
                <w:sz w:val="16"/>
                <w:szCs w:val="16"/>
              </w:rPr>
              <w:t>30-</w:t>
            </w:r>
            <w:r>
              <w:rPr>
                <w:rFonts w:hint="eastAsia" w:ascii="微软雅黑" w:hAnsi="微软雅黑" w:eastAsia="微软雅黑" w:cs="微软雅黑"/>
                <w:spacing w:val="-6"/>
                <w:sz w:val="16"/>
                <w:szCs w:val="16"/>
              </w:rPr>
              <w:t>下午</w:t>
            </w:r>
            <w:r>
              <w:rPr>
                <w:rFonts w:ascii="微软雅黑" w:hAnsi="微软雅黑" w:eastAsia="微软雅黑" w:cs="微软雅黑"/>
                <w:spacing w:val="-6"/>
                <w:sz w:val="16"/>
                <w:szCs w:val="16"/>
              </w:rPr>
              <w:t>18</w:t>
            </w:r>
            <w:r>
              <w:rPr>
                <w:rFonts w:hint="eastAsia" w:ascii="微软雅黑" w:hAnsi="微软雅黑" w:eastAsia="微软雅黑" w:cs="微软雅黑"/>
                <w:spacing w:val="-6"/>
                <w:sz w:val="16"/>
                <w:szCs w:val="16"/>
              </w:rPr>
              <w:t>:</w:t>
            </w:r>
            <w:r>
              <w:rPr>
                <w:rFonts w:ascii="微软雅黑" w:hAnsi="微软雅黑" w:eastAsia="微软雅黑" w:cs="微软雅黑"/>
                <w:spacing w:val="-6"/>
                <w:sz w:val="16"/>
                <w:szCs w:val="16"/>
              </w:rPr>
              <w:t>00）</w:t>
            </w:r>
            <w:r>
              <w:rPr>
                <w:rFonts w:hint="eastAsia" w:ascii="微软雅黑" w:hAnsi="微软雅黑" w:eastAsia="微软雅黑" w:cs="微软雅黑"/>
                <w:spacing w:val="-6"/>
                <w:sz w:val="16"/>
                <w:szCs w:val="16"/>
              </w:rPr>
              <w:t>间隔一小时</w:t>
            </w:r>
            <w:r>
              <w:rPr>
                <w:rFonts w:ascii="微软雅黑" w:hAnsi="微软雅黑" w:eastAsia="微软雅黑" w:cs="微软雅黑"/>
                <w:spacing w:val="-6"/>
                <w:sz w:val="16"/>
                <w:szCs w:val="16"/>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trPr>
        <w:tc>
          <w:tcPr>
            <w:tcW w:w="1038" w:type="dxa"/>
            <w:vMerge w:val="continue"/>
            <w:tcBorders>
              <w:top w:val="single" w:color="000000" w:sz="2" w:space="0"/>
              <w:bottom w:val="single" w:color="000000" w:sz="2" w:space="0"/>
            </w:tcBorders>
          </w:tcPr>
          <w:p/>
        </w:tc>
        <w:tc>
          <w:tcPr>
            <w:tcW w:w="1620" w:type="dxa"/>
            <w:vMerge w:val="continue"/>
            <w:vAlign w:val="center"/>
          </w:tcPr>
          <w:p>
            <w:pPr>
              <w:spacing w:before="69" w:line="183" w:lineRule="auto"/>
              <w:jc w:val="center"/>
              <w:rPr>
                <w:rFonts w:ascii="微软雅黑" w:hAnsi="微软雅黑" w:eastAsia="微软雅黑" w:cs="微软雅黑"/>
                <w:spacing w:val="-1"/>
                <w:sz w:val="16"/>
                <w:szCs w:val="16"/>
              </w:rPr>
            </w:pPr>
          </w:p>
        </w:tc>
        <w:tc>
          <w:tcPr>
            <w:tcW w:w="1695" w:type="dxa"/>
            <w:vAlign w:val="center"/>
          </w:tcPr>
          <w:p>
            <w:pPr>
              <w:spacing w:before="69" w:line="183" w:lineRule="auto"/>
              <w:jc w:val="center"/>
              <w:rPr>
                <w:rFonts w:ascii="微软雅黑" w:hAnsi="微软雅黑" w:eastAsia="微软雅黑" w:cs="微软雅黑"/>
                <w:spacing w:val="2"/>
                <w:sz w:val="16"/>
                <w:szCs w:val="16"/>
              </w:rPr>
            </w:pPr>
            <w:r>
              <w:rPr>
                <w:rFonts w:ascii="微软雅黑" w:hAnsi="微软雅黑" w:eastAsia="微软雅黑" w:cs="微软雅黑"/>
                <w:spacing w:val="1"/>
                <w:sz w:val="16"/>
                <w:szCs w:val="16"/>
              </w:rPr>
              <w:t>微</w:t>
            </w:r>
            <w:r>
              <w:rPr>
                <w:rFonts w:ascii="微软雅黑" w:hAnsi="微软雅黑" w:eastAsia="微软雅黑" w:cs="微软雅黑"/>
                <w:sz w:val="16"/>
                <w:szCs w:val="16"/>
              </w:rPr>
              <w:t>博辟谣</w:t>
            </w:r>
          </w:p>
        </w:tc>
        <w:tc>
          <w:tcPr>
            <w:tcW w:w="5385" w:type="dxa"/>
            <w:vAlign w:val="center"/>
          </w:tcPr>
          <w:p>
            <w:pPr>
              <w:spacing w:before="82" w:line="184" w:lineRule="auto"/>
              <w:rPr>
                <w:rFonts w:ascii="微软雅黑" w:hAnsi="微软雅黑" w:eastAsia="微软雅黑" w:cs="微软雅黑"/>
                <w:spacing w:val="-6"/>
                <w:sz w:val="16"/>
                <w:szCs w:val="16"/>
              </w:rPr>
            </w:pPr>
            <w:r>
              <w:rPr>
                <w:rFonts w:ascii="微软雅黑" w:hAnsi="微软雅黑" w:eastAsia="微软雅黑" w:cs="微软雅黑"/>
                <w:sz w:val="16"/>
                <w:szCs w:val="16"/>
              </w:rPr>
              <w:t>在舆情处理过程中，如有谣言产生需要发表官方声明，</w:t>
            </w:r>
            <w:r>
              <w:rPr>
                <w:rFonts w:hint="eastAsia" w:ascii="微软雅黑" w:hAnsi="微软雅黑" w:eastAsia="微软雅黑" w:cs="微软雅黑"/>
                <w:sz w:val="16"/>
                <w:szCs w:val="16"/>
              </w:rPr>
              <w:t>具备提供</w:t>
            </w:r>
            <w:r>
              <w:rPr>
                <w:rFonts w:ascii="微软雅黑" w:hAnsi="微软雅黑" w:eastAsia="微软雅黑" w:cs="微软雅黑"/>
                <w:sz w:val="16"/>
                <w:szCs w:val="16"/>
              </w:rPr>
              <w:t>新浪内部快速处理通道</w:t>
            </w:r>
            <w:r>
              <w:rPr>
                <w:rFonts w:hint="eastAsia" w:ascii="微软雅黑" w:hAnsi="微软雅黑" w:eastAsia="微软雅黑" w:cs="微软雅黑"/>
                <w:sz w:val="16"/>
                <w:szCs w:val="16"/>
              </w:rPr>
              <w:t>的</w:t>
            </w:r>
            <w:r>
              <w:rPr>
                <w:rFonts w:ascii="微软雅黑" w:hAnsi="微软雅黑" w:eastAsia="微软雅黑" w:cs="微软雅黑"/>
                <w:sz w:val="16"/>
                <w:szCs w:val="16"/>
              </w:rPr>
              <w:t>能力，</w:t>
            </w:r>
            <w:r>
              <w:rPr>
                <w:rFonts w:hint="eastAsia" w:ascii="微软雅黑" w:hAnsi="微软雅黑" w:eastAsia="微软雅黑" w:cs="微软雅黑"/>
                <w:sz w:val="16"/>
                <w:szCs w:val="16"/>
              </w:rPr>
              <w:t>能</w:t>
            </w:r>
            <w:r>
              <w:rPr>
                <w:rFonts w:ascii="微软雅黑" w:hAnsi="微软雅黑" w:eastAsia="微软雅黑" w:cs="微软雅黑"/>
                <w:sz w:val="16"/>
                <w:szCs w:val="16"/>
              </w:rPr>
              <w:t>在微博平台上对虚假信息第一时</w:t>
            </w:r>
            <w:r>
              <w:rPr>
                <w:rFonts w:hint="eastAsia" w:ascii="微软雅黑" w:hAnsi="微软雅黑" w:eastAsia="微软雅黑" w:cs="微软雅黑"/>
                <w:sz w:val="16"/>
                <w:szCs w:val="16"/>
              </w:rPr>
              <w:t>间</w:t>
            </w:r>
            <w:r>
              <w:rPr>
                <w:rFonts w:ascii="微软雅黑" w:hAnsi="微软雅黑" w:eastAsia="微软雅黑" w:cs="微软雅黑"/>
                <w:spacing w:val="1"/>
                <w:sz w:val="16"/>
                <w:szCs w:val="16"/>
              </w:rPr>
              <w:t>进</w:t>
            </w:r>
            <w:r>
              <w:rPr>
                <w:rFonts w:ascii="微软雅黑" w:hAnsi="微软雅黑" w:eastAsia="微软雅黑" w:cs="微软雅黑"/>
                <w:sz w:val="16"/>
                <w:szCs w:val="16"/>
              </w:rPr>
              <w:t>行辟谣。</w:t>
            </w:r>
          </w:p>
        </w:tc>
      </w:tr>
    </w:tbl>
    <w:p>
      <w:pPr>
        <w:rPr>
          <w:rFonts w:ascii="微软雅黑" w:hAnsi="微软雅黑" w:eastAsia="微软雅黑" w:cs="微软雅黑"/>
          <w:sz w:val="22"/>
          <w:szCs w:val="22"/>
        </w:rPr>
      </w:pPr>
    </w:p>
    <w:p>
      <w:pPr>
        <w:widowControl/>
        <w:jc w:val="center"/>
        <w:textAlignment w:val="center"/>
        <w:rPr>
          <w:rFonts w:ascii="宋体" w:hAnsi="宋体" w:cs="宋体"/>
          <w:color w:val="000000"/>
          <w:kern w:val="0"/>
          <w:sz w:val="16"/>
          <w:szCs w:val="16"/>
        </w:rPr>
      </w:pPr>
    </w:p>
    <w:sectPr>
      <w:headerReference r:id="rId6" w:type="default"/>
      <w:footerReference r:id="rId7" w:type="default"/>
      <w:pgSz w:w="11906" w:h="16838"/>
      <w:pgMar w:top="1134" w:right="1087" w:bottom="1134" w:left="1359"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宋体氜.">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lang w:val="zh-CN"/>
      </w:rPr>
      <w:fldChar w:fldCharType="begin"/>
    </w:r>
    <w:r>
      <w:rPr>
        <w:lang w:val="zh-CN"/>
      </w:rPr>
      <w:instrText xml:space="preserve"> PAGE   \* MERGEFORMAT </w:instrText>
    </w:r>
    <w:r>
      <w:rPr>
        <w:lang w:val="zh-CN"/>
      </w:rPr>
      <w:fldChar w:fldCharType="separate"/>
    </w:r>
    <w:r>
      <w:rPr>
        <w:lang w:val="zh-CN"/>
      </w:rPr>
      <w:t>21</w:t>
    </w:r>
    <w:r>
      <w:rPr>
        <w:lang w:val="zh-CN"/>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left"/>
      <w:rPr>
        <w:rFonts w:ascii="仿宋" w:hAnsi="仿宋" w:eastAsia="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rPr>
        <w:rFonts w:hint="eastAsia" w:ascii="仿宋" w:hAnsi="仿宋" w:eastAsia="仿宋"/>
      </w:rPr>
      <w:t xml:space="preserve">文山复烤厂篷布及草席维修招标文件                                                                 </w:t>
    </w:r>
    <w:r>
      <w:rPr>
        <w:rFonts w:ascii="仿宋" w:hAnsi="仿宋" w:eastAsia="仿宋"/>
      </w:rPr>
      <w:t xml:space="preserve">Page </w:t>
    </w:r>
    <w:r>
      <w:rPr>
        <w:rFonts w:ascii="仿宋" w:hAnsi="仿宋" w:eastAsia="仿宋"/>
      </w:rPr>
      <w:fldChar w:fldCharType="begin"/>
    </w:r>
    <w:r>
      <w:rPr>
        <w:rFonts w:ascii="仿宋" w:hAnsi="仿宋" w:eastAsia="仿宋"/>
      </w:rPr>
      <w:instrText xml:space="preserve"> PAGE </w:instrText>
    </w:r>
    <w:r>
      <w:rPr>
        <w:rFonts w:ascii="仿宋" w:hAnsi="仿宋" w:eastAsia="仿宋"/>
      </w:rPr>
      <w:fldChar w:fldCharType="separate"/>
    </w:r>
    <w:r>
      <w:rPr>
        <w:rFonts w:ascii="仿宋" w:hAnsi="仿宋" w:eastAsia="仿宋"/>
      </w:rPr>
      <w:t>0</w:t>
    </w:r>
    <w:r>
      <w:rPr>
        <w:rFonts w:ascii="仿宋" w:hAnsi="仿宋" w:eastAsia="仿宋"/>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left"/>
      <w:rPr>
        <w:rFonts w:ascii="仿宋" w:hAnsi="仿宋"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D53299"/>
    <w:multiLevelType w:val="multilevel"/>
    <w:tmpl w:val="37D53299"/>
    <w:lvl w:ilvl="0" w:tentative="0">
      <w:start w:val="1"/>
      <w:numFmt w:val="bullet"/>
      <w:pStyle w:val="65"/>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
    <w:nsid w:val="55B8694A"/>
    <w:multiLevelType w:val="singleLevel"/>
    <w:tmpl w:val="55B8694A"/>
    <w:lvl w:ilvl="0" w:tentative="0">
      <w:start w:val="1"/>
      <w:numFmt w:val="decimal"/>
      <w:suff w:val="nothing"/>
      <w:lvlText w:val="（%1）"/>
      <w:lvlJc w:val="left"/>
    </w:lvl>
  </w:abstractNum>
  <w:abstractNum w:abstractNumId="2">
    <w:nsid w:val="599A389D"/>
    <w:multiLevelType w:val="multilevel"/>
    <w:tmpl w:val="599A38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4YTIwOWE1MWQzMzAwNjM0ZGUzMDM0Y2FiNmYyNjQifQ=="/>
  </w:docVars>
  <w:rsids>
    <w:rsidRoot w:val="00172A27"/>
    <w:rsid w:val="000010EA"/>
    <w:rsid w:val="00003F98"/>
    <w:rsid w:val="00007263"/>
    <w:rsid w:val="00010A38"/>
    <w:rsid w:val="000110B4"/>
    <w:rsid w:val="00011CD3"/>
    <w:rsid w:val="000131FC"/>
    <w:rsid w:val="00013C7C"/>
    <w:rsid w:val="00015240"/>
    <w:rsid w:val="00015A25"/>
    <w:rsid w:val="00016E46"/>
    <w:rsid w:val="000207AB"/>
    <w:rsid w:val="00025D55"/>
    <w:rsid w:val="000304C9"/>
    <w:rsid w:val="00031421"/>
    <w:rsid w:val="0003255A"/>
    <w:rsid w:val="00033DFA"/>
    <w:rsid w:val="00040019"/>
    <w:rsid w:val="000410DE"/>
    <w:rsid w:val="00044A67"/>
    <w:rsid w:val="00044BDD"/>
    <w:rsid w:val="000473BA"/>
    <w:rsid w:val="00047F9F"/>
    <w:rsid w:val="00050E72"/>
    <w:rsid w:val="000517D8"/>
    <w:rsid w:val="000541D4"/>
    <w:rsid w:val="0005528C"/>
    <w:rsid w:val="000555BF"/>
    <w:rsid w:val="000567C0"/>
    <w:rsid w:val="00057124"/>
    <w:rsid w:val="00063788"/>
    <w:rsid w:val="00065534"/>
    <w:rsid w:val="0006631F"/>
    <w:rsid w:val="0007136E"/>
    <w:rsid w:val="00074178"/>
    <w:rsid w:val="00076325"/>
    <w:rsid w:val="00076AF3"/>
    <w:rsid w:val="00080B08"/>
    <w:rsid w:val="00083752"/>
    <w:rsid w:val="0008448A"/>
    <w:rsid w:val="0008474E"/>
    <w:rsid w:val="000862CA"/>
    <w:rsid w:val="00087373"/>
    <w:rsid w:val="00091B7F"/>
    <w:rsid w:val="00091DF4"/>
    <w:rsid w:val="000937AD"/>
    <w:rsid w:val="00097232"/>
    <w:rsid w:val="000A00B3"/>
    <w:rsid w:val="000A6C3B"/>
    <w:rsid w:val="000B0734"/>
    <w:rsid w:val="000B78AC"/>
    <w:rsid w:val="000D022B"/>
    <w:rsid w:val="000D07B9"/>
    <w:rsid w:val="000D20CB"/>
    <w:rsid w:val="000D32F8"/>
    <w:rsid w:val="000E6777"/>
    <w:rsid w:val="000F0731"/>
    <w:rsid w:val="000F36DB"/>
    <w:rsid w:val="000F38FB"/>
    <w:rsid w:val="00101B9F"/>
    <w:rsid w:val="00102CB0"/>
    <w:rsid w:val="001069A6"/>
    <w:rsid w:val="00117E99"/>
    <w:rsid w:val="00122130"/>
    <w:rsid w:val="00131C13"/>
    <w:rsid w:val="00131CA7"/>
    <w:rsid w:val="00132364"/>
    <w:rsid w:val="0013274F"/>
    <w:rsid w:val="00132FAF"/>
    <w:rsid w:val="00133C9D"/>
    <w:rsid w:val="0014616B"/>
    <w:rsid w:val="00150988"/>
    <w:rsid w:val="001521CE"/>
    <w:rsid w:val="00153F68"/>
    <w:rsid w:val="00155757"/>
    <w:rsid w:val="001608E4"/>
    <w:rsid w:val="00164B84"/>
    <w:rsid w:val="001658D1"/>
    <w:rsid w:val="001676C9"/>
    <w:rsid w:val="00167C74"/>
    <w:rsid w:val="001704D9"/>
    <w:rsid w:val="00172A27"/>
    <w:rsid w:val="00180747"/>
    <w:rsid w:val="001812AD"/>
    <w:rsid w:val="00182790"/>
    <w:rsid w:val="00186A54"/>
    <w:rsid w:val="001930BA"/>
    <w:rsid w:val="00194A71"/>
    <w:rsid w:val="00196B32"/>
    <w:rsid w:val="00197D1E"/>
    <w:rsid w:val="001A1D9D"/>
    <w:rsid w:val="001A2EEB"/>
    <w:rsid w:val="001A433F"/>
    <w:rsid w:val="001A6B3F"/>
    <w:rsid w:val="001A719F"/>
    <w:rsid w:val="001B1D2B"/>
    <w:rsid w:val="001B5B7E"/>
    <w:rsid w:val="001C1611"/>
    <w:rsid w:val="001C2968"/>
    <w:rsid w:val="001C5E58"/>
    <w:rsid w:val="001C6315"/>
    <w:rsid w:val="001D0D14"/>
    <w:rsid w:val="001D41AE"/>
    <w:rsid w:val="001D7939"/>
    <w:rsid w:val="001E5E32"/>
    <w:rsid w:val="001E665A"/>
    <w:rsid w:val="001E699C"/>
    <w:rsid w:val="001F02E5"/>
    <w:rsid w:val="001F12B1"/>
    <w:rsid w:val="001F4135"/>
    <w:rsid w:val="001F586A"/>
    <w:rsid w:val="001F6746"/>
    <w:rsid w:val="002002B1"/>
    <w:rsid w:val="00204A39"/>
    <w:rsid w:val="00206FE8"/>
    <w:rsid w:val="00212080"/>
    <w:rsid w:val="00214794"/>
    <w:rsid w:val="00215422"/>
    <w:rsid w:val="00221F42"/>
    <w:rsid w:val="00223348"/>
    <w:rsid w:val="00223554"/>
    <w:rsid w:val="0022570F"/>
    <w:rsid w:val="00226E4F"/>
    <w:rsid w:val="00232F37"/>
    <w:rsid w:val="00234B0A"/>
    <w:rsid w:val="002354A0"/>
    <w:rsid w:val="00243E5A"/>
    <w:rsid w:val="002440F8"/>
    <w:rsid w:val="00244E0F"/>
    <w:rsid w:val="0024712A"/>
    <w:rsid w:val="002526CE"/>
    <w:rsid w:val="00256DD8"/>
    <w:rsid w:val="002611A1"/>
    <w:rsid w:val="00263C88"/>
    <w:rsid w:val="002727D7"/>
    <w:rsid w:val="0027284B"/>
    <w:rsid w:val="00273FB4"/>
    <w:rsid w:val="00274F80"/>
    <w:rsid w:val="00277C27"/>
    <w:rsid w:val="002847FD"/>
    <w:rsid w:val="0028582B"/>
    <w:rsid w:val="00286C95"/>
    <w:rsid w:val="00286E46"/>
    <w:rsid w:val="0029292C"/>
    <w:rsid w:val="002943AF"/>
    <w:rsid w:val="00294832"/>
    <w:rsid w:val="00295B4C"/>
    <w:rsid w:val="002A4104"/>
    <w:rsid w:val="002A51FD"/>
    <w:rsid w:val="002A6973"/>
    <w:rsid w:val="002A6F1D"/>
    <w:rsid w:val="002A745A"/>
    <w:rsid w:val="002B29EB"/>
    <w:rsid w:val="002B580C"/>
    <w:rsid w:val="002B7A8B"/>
    <w:rsid w:val="002C1EB3"/>
    <w:rsid w:val="002C2E4F"/>
    <w:rsid w:val="002C4094"/>
    <w:rsid w:val="002C4275"/>
    <w:rsid w:val="002C5E94"/>
    <w:rsid w:val="002D4FDB"/>
    <w:rsid w:val="002E3EC9"/>
    <w:rsid w:val="002E68EE"/>
    <w:rsid w:val="002F20AE"/>
    <w:rsid w:val="002F53C5"/>
    <w:rsid w:val="002F5F12"/>
    <w:rsid w:val="00302D70"/>
    <w:rsid w:val="00304567"/>
    <w:rsid w:val="00304794"/>
    <w:rsid w:val="003077F2"/>
    <w:rsid w:val="00310855"/>
    <w:rsid w:val="0031235E"/>
    <w:rsid w:val="00313D9A"/>
    <w:rsid w:val="003143B8"/>
    <w:rsid w:val="00316201"/>
    <w:rsid w:val="00316AFB"/>
    <w:rsid w:val="003222EC"/>
    <w:rsid w:val="00322939"/>
    <w:rsid w:val="00322D08"/>
    <w:rsid w:val="00323345"/>
    <w:rsid w:val="0032378C"/>
    <w:rsid w:val="0032385E"/>
    <w:rsid w:val="00324DD1"/>
    <w:rsid w:val="00331B75"/>
    <w:rsid w:val="003335F8"/>
    <w:rsid w:val="00333AAF"/>
    <w:rsid w:val="0034502D"/>
    <w:rsid w:val="0034607D"/>
    <w:rsid w:val="00350AEA"/>
    <w:rsid w:val="003511B4"/>
    <w:rsid w:val="00352FF5"/>
    <w:rsid w:val="00354401"/>
    <w:rsid w:val="00354E1B"/>
    <w:rsid w:val="003600A2"/>
    <w:rsid w:val="00360135"/>
    <w:rsid w:val="00371C9E"/>
    <w:rsid w:val="003720BF"/>
    <w:rsid w:val="003723B2"/>
    <w:rsid w:val="00373DC0"/>
    <w:rsid w:val="003746EC"/>
    <w:rsid w:val="003803C7"/>
    <w:rsid w:val="0038518F"/>
    <w:rsid w:val="00392E9F"/>
    <w:rsid w:val="00394181"/>
    <w:rsid w:val="003A075F"/>
    <w:rsid w:val="003A25E1"/>
    <w:rsid w:val="003A62A5"/>
    <w:rsid w:val="003A6789"/>
    <w:rsid w:val="003B22DB"/>
    <w:rsid w:val="003B4EA6"/>
    <w:rsid w:val="003B6D76"/>
    <w:rsid w:val="003C54FE"/>
    <w:rsid w:val="003D28E7"/>
    <w:rsid w:val="003D2CE4"/>
    <w:rsid w:val="003D51AF"/>
    <w:rsid w:val="003D554A"/>
    <w:rsid w:val="003D7DB4"/>
    <w:rsid w:val="003E2794"/>
    <w:rsid w:val="003E2BFA"/>
    <w:rsid w:val="003F0705"/>
    <w:rsid w:val="003F1984"/>
    <w:rsid w:val="003F1C81"/>
    <w:rsid w:val="003F22D5"/>
    <w:rsid w:val="003F30B7"/>
    <w:rsid w:val="003F3DD4"/>
    <w:rsid w:val="003F66C4"/>
    <w:rsid w:val="003F6E45"/>
    <w:rsid w:val="00402415"/>
    <w:rsid w:val="00405CEB"/>
    <w:rsid w:val="00406ADE"/>
    <w:rsid w:val="004113E3"/>
    <w:rsid w:val="00415737"/>
    <w:rsid w:val="00417E8B"/>
    <w:rsid w:val="0042089F"/>
    <w:rsid w:val="00422FAC"/>
    <w:rsid w:val="0042585B"/>
    <w:rsid w:val="004265A4"/>
    <w:rsid w:val="00427258"/>
    <w:rsid w:val="004278BE"/>
    <w:rsid w:val="0042793C"/>
    <w:rsid w:val="00427D07"/>
    <w:rsid w:val="00432123"/>
    <w:rsid w:val="00432F18"/>
    <w:rsid w:val="00434069"/>
    <w:rsid w:val="004357D4"/>
    <w:rsid w:val="00436468"/>
    <w:rsid w:val="004429B1"/>
    <w:rsid w:val="00443758"/>
    <w:rsid w:val="00446C20"/>
    <w:rsid w:val="0046313B"/>
    <w:rsid w:val="00465400"/>
    <w:rsid w:val="0046705A"/>
    <w:rsid w:val="00470C18"/>
    <w:rsid w:val="00474677"/>
    <w:rsid w:val="00480876"/>
    <w:rsid w:val="00481447"/>
    <w:rsid w:val="00482A1E"/>
    <w:rsid w:val="00485F0B"/>
    <w:rsid w:val="004924BD"/>
    <w:rsid w:val="0049368E"/>
    <w:rsid w:val="004958BB"/>
    <w:rsid w:val="004A0108"/>
    <w:rsid w:val="004A14F1"/>
    <w:rsid w:val="004A5A5B"/>
    <w:rsid w:val="004A6065"/>
    <w:rsid w:val="004A64FE"/>
    <w:rsid w:val="004A7C97"/>
    <w:rsid w:val="004B48E6"/>
    <w:rsid w:val="004B7203"/>
    <w:rsid w:val="004C0612"/>
    <w:rsid w:val="004C2A20"/>
    <w:rsid w:val="004C613A"/>
    <w:rsid w:val="004C67B8"/>
    <w:rsid w:val="004C6FC7"/>
    <w:rsid w:val="004C758D"/>
    <w:rsid w:val="004D0961"/>
    <w:rsid w:val="004D29FA"/>
    <w:rsid w:val="004D4170"/>
    <w:rsid w:val="004D7083"/>
    <w:rsid w:val="004E0E97"/>
    <w:rsid w:val="004E1120"/>
    <w:rsid w:val="004E4951"/>
    <w:rsid w:val="004E5B6F"/>
    <w:rsid w:val="004E62ED"/>
    <w:rsid w:val="004E64F0"/>
    <w:rsid w:val="004F4DED"/>
    <w:rsid w:val="004F65D0"/>
    <w:rsid w:val="00501F7B"/>
    <w:rsid w:val="00503A77"/>
    <w:rsid w:val="00506D0A"/>
    <w:rsid w:val="00507FD0"/>
    <w:rsid w:val="00510839"/>
    <w:rsid w:val="00510B62"/>
    <w:rsid w:val="005224F1"/>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404C"/>
    <w:rsid w:val="005C5321"/>
    <w:rsid w:val="005C56E9"/>
    <w:rsid w:val="005C5995"/>
    <w:rsid w:val="005C72DB"/>
    <w:rsid w:val="005D1619"/>
    <w:rsid w:val="005D1C2C"/>
    <w:rsid w:val="005D20AB"/>
    <w:rsid w:val="005E0752"/>
    <w:rsid w:val="005E23C9"/>
    <w:rsid w:val="005E2D26"/>
    <w:rsid w:val="005E5084"/>
    <w:rsid w:val="005F3400"/>
    <w:rsid w:val="005F3547"/>
    <w:rsid w:val="005F3D07"/>
    <w:rsid w:val="005F5697"/>
    <w:rsid w:val="005F6017"/>
    <w:rsid w:val="005F677F"/>
    <w:rsid w:val="005F7D7A"/>
    <w:rsid w:val="00600FA0"/>
    <w:rsid w:val="00602AE9"/>
    <w:rsid w:val="00604917"/>
    <w:rsid w:val="0060502C"/>
    <w:rsid w:val="0061313D"/>
    <w:rsid w:val="0061458B"/>
    <w:rsid w:val="00615512"/>
    <w:rsid w:val="00615A43"/>
    <w:rsid w:val="006241B8"/>
    <w:rsid w:val="00625AFE"/>
    <w:rsid w:val="0063291B"/>
    <w:rsid w:val="0063381C"/>
    <w:rsid w:val="006343DB"/>
    <w:rsid w:val="00635258"/>
    <w:rsid w:val="006368A5"/>
    <w:rsid w:val="00636BE9"/>
    <w:rsid w:val="006411D7"/>
    <w:rsid w:val="00641640"/>
    <w:rsid w:val="006426D8"/>
    <w:rsid w:val="00643F4E"/>
    <w:rsid w:val="00644A66"/>
    <w:rsid w:val="00646069"/>
    <w:rsid w:val="00650532"/>
    <w:rsid w:val="00652AE6"/>
    <w:rsid w:val="006663A0"/>
    <w:rsid w:val="006713A7"/>
    <w:rsid w:val="00680A8C"/>
    <w:rsid w:val="00680AE2"/>
    <w:rsid w:val="006810EE"/>
    <w:rsid w:val="006820EC"/>
    <w:rsid w:val="00683DD5"/>
    <w:rsid w:val="006856D5"/>
    <w:rsid w:val="006A0029"/>
    <w:rsid w:val="006A3078"/>
    <w:rsid w:val="006C2468"/>
    <w:rsid w:val="006C5364"/>
    <w:rsid w:val="006C56C4"/>
    <w:rsid w:val="006C577F"/>
    <w:rsid w:val="006C605C"/>
    <w:rsid w:val="006D1ABC"/>
    <w:rsid w:val="006D37C4"/>
    <w:rsid w:val="006E04B3"/>
    <w:rsid w:val="006E0E7A"/>
    <w:rsid w:val="006E3F22"/>
    <w:rsid w:val="006E44FB"/>
    <w:rsid w:val="006F3500"/>
    <w:rsid w:val="006F551E"/>
    <w:rsid w:val="00702789"/>
    <w:rsid w:val="0070359A"/>
    <w:rsid w:val="0070362C"/>
    <w:rsid w:val="007072C4"/>
    <w:rsid w:val="00716613"/>
    <w:rsid w:val="007178E7"/>
    <w:rsid w:val="00721FC2"/>
    <w:rsid w:val="00727BA6"/>
    <w:rsid w:val="00731EC1"/>
    <w:rsid w:val="00737CD2"/>
    <w:rsid w:val="00746F24"/>
    <w:rsid w:val="00753C8E"/>
    <w:rsid w:val="007571C3"/>
    <w:rsid w:val="00764DB1"/>
    <w:rsid w:val="0076537B"/>
    <w:rsid w:val="00766A0B"/>
    <w:rsid w:val="00766A8A"/>
    <w:rsid w:val="00770A43"/>
    <w:rsid w:val="00775C44"/>
    <w:rsid w:val="0077655E"/>
    <w:rsid w:val="00777124"/>
    <w:rsid w:val="00777425"/>
    <w:rsid w:val="00784501"/>
    <w:rsid w:val="007924A2"/>
    <w:rsid w:val="007961A1"/>
    <w:rsid w:val="007A01A6"/>
    <w:rsid w:val="007A15E9"/>
    <w:rsid w:val="007A2E6F"/>
    <w:rsid w:val="007B4A34"/>
    <w:rsid w:val="007B4DEA"/>
    <w:rsid w:val="007B727F"/>
    <w:rsid w:val="007B74A8"/>
    <w:rsid w:val="007C002D"/>
    <w:rsid w:val="007C2564"/>
    <w:rsid w:val="007C6F48"/>
    <w:rsid w:val="007C7FD6"/>
    <w:rsid w:val="007D31B1"/>
    <w:rsid w:val="007D5192"/>
    <w:rsid w:val="007D6894"/>
    <w:rsid w:val="007D700E"/>
    <w:rsid w:val="007E5A61"/>
    <w:rsid w:val="007F2DB4"/>
    <w:rsid w:val="007F67D1"/>
    <w:rsid w:val="007F742E"/>
    <w:rsid w:val="0080093B"/>
    <w:rsid w:val="0080126B"/>
    <w:rsid w:val="008034EA"/>
    <w:rsid w:val="008061ED"/>
    <w:rsid w:val="00811A96"/>
    <w:rsid w:val="00814A82"/>
    <w:rsid w:val="0081606E"/>
    <w:rsid w:val="0081745C"/>
    <w:rsid w:val="008211E4"/>
    <w:rsid w:val="00821704"/>
    <w:rsid w:val="00822C2B"/>
    <w:rsid w:val="0082575E"/>
    <w:rsid w:val="0082784D"/>
    <w:rsid w:val="00827D84"/>
    <w:rsid w:val="00827F6B"/>
    <w:rsid w:val="00833176"/>
    <w:rsid w:val="00835326"/>
    <w:rsid w:val="008407B8"/>
    <w:rsid w:val="00841CDB"/>
    <w:rsid w:val="00844233"/>
    <w:rsid w:val="00846C62"/>
    <w:rsid w:val="00850DE6"/>
    <w:rsid w:val="00851543"/>
    <w:rsid w:val="00853DEA"/>
    <w:rsid w:val="00854E06"/>
    <w:rsid w:val="008575B5"/>
    <w:rsid w:val="00861A5E"/>
    <w:rsid w:val="00865687"/>
    <w:rsid w:val="00865C1B"/>
    <w:rsid w:val="00867981"/>
    <w:rsid w:val="008712EB"/>
    <w:rsid w:val="0087223C"/>
    <w:rsid w:val="0087341C"/>
    <w:rsid w:val="008772A8"/>
    <w:rsid w:val="00877714"/>
    <w:rsid w:val="00880E9E"/>
    <w:rsid w:val="00882EF7"/>
    <w:rsid w:val="00885930"/>
    <w:rsid w:val="00895EF3"/>
    <w:rsid w:val="008A3BBB"/>
    <w:rsid w:val="008A5855"/>
    <w:rsid w:val="008A6096"/>
    <w:rsid w:val="008A6A5C"/>
    <w:rsid w:val="008A7E76"/>
    <w:rsid w:val="008B0390"/>
    <w:rsid w:val="008B0DA7"/>
    <w:rsid w:val="008B5BC8"/>
    <w:rsid w:val="008B61B1"/>
    <w:rsid w:val="008C10CD"/>
    <w:rsid w:val="008C5111"/>
    <w:rsid w:val="008C6127"/>
    <w:rsid w:val="008D3BE8"/>
    <w:rsid w:val="008D59F0"/>
    <w:rsid w:val="008E1D5E"/>
    <w:rsid w:val="008E3D86"/>
    <w:rsid w:val="008E739F"/>
    <w:rsid w:val="008F2A92"/>
    <w:rsid w:val="008F4C0F"/>
    <w:rsid w:val="008F6AA6"/>
    <w:rsid w:val="008F6E51"/>
    <w:rsid w:val="008F776A"/>
    <w:rsid w:val="009036F2"/>
    <w:rsid w:val="00903CC4"/>
    <w:rsid w:val="009061BF"/>
    <w:rsid w:val="009117E3"/>
    <w:rsid w:val="00912D6A"/>
    <w:rsid w:val="00915690"/>
    <w:rsid w:val="00915ADE"/>
    <w:rsid w:val="00916014"/>
    <w:rsid w:val="009173B9"/>
    <w:rsid w:val="009213AE"/>
    <w:rsid w:val="009238CB"/>
    <w:rsid w:val="009241AB"/>
    <w:rsid w:val="00926304"/>
    <w:rsid w:val="00940308"/>
    <w:rsid w:val="009403EA"/>
    <w:rsid w:val="00942DA2"/>
    <w:rsid w:val="0094504E"/>
    <w:rsid w:val="00951BB6"/>
    <w:rsid w:val="00953883"/>
    <w:rsid w:val="00954FE0"/>
    <w:rsid w:val="00957E5B"/>
    <w:rsid w:val="00960D95"/>
    <w:rsid w:val="00961AD8"/>
    <w:rsid w:val="00962DC6"/>
    <w:rsid w:val="00966A20"/>
    <w:rsid w:val="0097078B"/>
    <w:rsid w:val="009719BD"/>
    <w:rsid w:val="00972C98"/>
    <w:rsid w:val="00972E98"/>
    <w:rsid w:val="00976322"/>
    <w:rsid w:val="00983422"/>
    <w:rsid w:val="00991B90"/>
    <w:rsid w:val="009939E7"/>
    <w:rsid w:val="00993BC8"/>
    <w:rsid w:val="00993EE5"/>
    <w:rsid w:val="009A0B91"/>
    <w:rsid w:val="009A38CE"/>
    <w:rsid w:val="009A3AFD"/>
    <w:rsid w:val="009A7243"/>
    <w:rsid w:val="009B0CF8"/>
    <w:rsid w:val="009B22C4"/>
    <w:rsid w:val="009B473A"/>
    <w:rsid w:val="009B4D31"/>
    <w:rsid w:val="009B5F0C"/>
    <w:rsid w:val="009C1621"/>
    <w:rsid w:val="009C221B"/>
    <w:rsid w:val="009C332B"/>
    <w:rsid w:val="009C55C2"/>
    <w:rsid w:val="009C7612"/>
    <w:rsid w:val="009C7F2E"/>
    <w:rsid w:val="009D6F68"/>
    <w:rsid w:val="009E0065"/>
    <w:rsid w:val="009E2094"/>
    <w:rsid w:val="009E3DF8"/>
    <w:rsid w:val="009E4450"/>
    <w:rsid w:val="009E7303"/>
    <w:rsid w:val="009F2E90"/>
    <w:rsid w:val="009F73D0"/>
    <w:rsid w:val="00A006FA"/>
    <w:rsid w:val="00A0463D"/>
    <w:rsid w:val="00A04689"/>
    <w:rsid w:val="00A04CEC"/>
    <w:rsid w:val="00A05473"/>
    <w:rsid w:val="00A07DB6"/>
    <w:rsid w:val="00A11C9A"/>
    <w:rsid w:val="00A130C4"/>
    <w:rsid w:val="00A17792"/>
    <w:rsid w:val="00A211E1"/>
    <w:rsid w:val="00A23CC3"/>
    <w:rsid w:val="00A2477D"/>
    <w:rsid w:val="00A322AD"/>
    <w:rsid w:val="00A34408"/>
    <w:rsid w:val="00A35177"/>
    <w:rsid w:val="00A37D60"/>
    <w:rsid w:val="00A40106"/>
    <w:rsid w:val="00A46EB1"/>
    <w:rsid w:val="00A47EF8"/>
    <w:rsid w:val="00A532F8"/>
    <w:rsid w:val="00A54FFD"/>
    <w:rsid w:val="00A55442"/>
    <w:rsid w:val="00A55E79"/>
    <w:rsid w:val="00A56891"/>
    <w:rsid w:val="00A573AC"/>
    <w:rsid w:val="00A633E3"/>
    <w:rsid w:val="00A67210"/>
    <w:rsid w:val="00A7789A"/>
    <w:rsid w:val="00A77A2A"/>
    <w:rsid w:val="00A83A2C"/>
    <w:rsid w:val="00A909FC"/>
    <w:rsid w:val="00A939A2"/>
    <w:rsid w:val="00A9525F"/>
    <w:rsid w:val="00A9540D"/>
    <w:rsid w:val="00AA02C8"/>
    <w:rsid w:val="00AA10A5"/>
    <w:rsid w:val="00AA1C5D"/>
    <w:rsid w:val="00AA593F"/>
    <w:rsid w:val="00AA5BBE"/>
    <w:rsid w:val="00AA5FC0"/>
    <w:rsid w:val="00AA720F"/>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580"/>
    <w:rsid w:val="00AE6643"/>
    <w:rsid w:val="00AE7C36"/>
    <w:rsid w:val="00AF3119"/>
    <w:rsid w:val="00AF3AD5"/>
    <w:rsid w:val="00AF4A38"/>
    <w:rsid w:val="00AF7D59"/>
    <w:rsid w:val="00B00FEE"/>
    <w:rsid w:val="00B01E87"/>
    <w:rsid w:val="00B027C8"/>
    <w:rsid w:val="00B057F6"/>
    <w:rsid w:val="00B07560"/>
    <w:rsid w:val="00B07976"/>
    <w:rsid w:val="00B10BDB"/>
    <w:rsid w:val="00B11DB3"/>
    <w:rsid w:val="00B127F4"/>
    <w:rsid w:val="00B13567"/>
    <w:rsid w:val="00B13B50"/>
    <w:rsid w:val="00B13B78"/>
    <w:rsid w:val="00B15484"/>
    <w:rsid w:val="00B16970"/>
    <w:rsid w:val="00B16F76"/>
    <w:rsid w:val="00B17A58"/>
    <w:rsid w:val="00B24B72"/>
    <w:rsid w:val="00B25141"/>
    <w:rsid w:val="00B25ABF"/>
    <w:rsid w:val="00B25DFF"/>
    <w:rsid w:val="00B30826"/>
    <w:rsid w:val="00B414D2"/>
    <w:rsid w:val="00B43FE3"/>
    <w:rsid w:val="00B45EDC"/>
    <w:rsid w:val="00B4712B"/>
    <w:rsid w:val="00B52280"/>
    <w:rsid w:val="00B5326A"/>
    <w:rsid w:val="00B54563"/>
    <w:rsid w:val="00B5761D"/>
    <w:rsid w:val="00B605BD"/>
    <w:rsid w:val="00B62EE2"/>
    <w:rsid w:val="00B644B9"/>
    <w:rsid w:val="00B64B8A"/>
    <w:rsid w:val="00B678CE"/>
    <w:rsid w:val="00B70CD2"/>
    <w:rsid w:val="00B75AE8"/>
    <w:rsid w:val="00B809F4"/>
    <w:rsid w:val="00B81787"/>
    <w:rsid w:val="00B847A4"/>
    <w:rsid w:val="00B85D7A"/>
    <w:rsid w:val="00B913AD"/>
    <w:rsid w:val="00B9231F"/>
    <w:rsid w:val="00B945B6"/>
    <w:rsid w:val="00BA093E"/>
    <w:rsid w:val="00BB1141"/>
    <w:rsid w:val="00BB2517"/>
    <w:rsid w:val="00BB2AA5"/>
    <w:rsid w:val="00BB5279"/>
    <w:rsid w:val="00BB569D"/>
    <w:rsid w:val="00BB69DF"/>
    <w:rsid w:val="00BC0463"/>
    <w:rsid w:val="00BC7587"/>
    <w:rsid w:val="00BD5BED"/>
    <w:rsid w:val="00BD6275"/>
    <w:rsid w:val="00BE02A4"/>
    <w:rsid w:val="00BE37DF"/>
    <w:rsid w:val="00BE74FA"/>
    <w:rsid w:val="00BE7E46"/>
    <w:rsid w:val="00BF08CD"/>
    <w:rsid w:val="00BF167E"/>
    <w:rsid w:val="00BF2F76"/>
    <w:rsid w:val="00BF7851"/>
    <w:rsid w:val="00C00BCE"/>
    <w:rsid w:val="00C12AAF"/>
    <w:rsid w:val="00C15110"/>
    <w:rsid w:val="00C2417E"/>
    <w:rsid w:val="00C26119"/>
    <w:rsid w:val="00C261E3"/>
    <w:rsid w:val="00C269E3"/>
    <w:rsid w:val="00C3154A"/>
    <w:rsid w:val="00C32C25"/>
    <w:rsid w:val="00C3342E"/>
    <w:rsid w:val="00C3583D"/>
    <w:rsid w:val="00C36550"/>
    <w:rsid w:val="00C36D21"/>
    <w:rsid w:val="00C420C2"/>
    <w:rsid w:val="00C420D5"/>
    <w:rsid w:val="00C443DC"/>
    <w:rsid w:val="00C45F8F"/>
    <w:rsid w:val="00C54EC7"/>
    <w:rsid w:val="00C578F3"/>
    <w:rsid w:val="00C62CDA"/>
    <w:rsid w:val="00C6339F"/>
    <w:rsid w:val="00C635FF"/>
    <w:rsid w:val="00C65E75"/>
    <w:rsid w:val="00C6606A"/>
    <w:rsid w:val="00C669CC"/>
    <w:rsid w:val="00C700AF"/>
    <w:rsid w:val="00C701B8"/>
    <w:rsid w:val="00C734EE"/>
    <w:rsid w:val="00C7405F"/>
    <w:rsid w:val="00C74498"/>
    <w:rsid w:val="00C76725"/>
    <w:rsid w:val="00C82990"/>
    <w:rsid w:val="00C83E7B"/>
    <w:rsid w:val="00C84010"/>
    <w:rsid w:val="00C8423C"/>
    <w:rsid w:val="00C8432A"/>
    <w:rsid w:val="00C86CB6"/>
    <w:rsid w:val="00C917DE"/>
    <w:rsid w:val="00C950F8"/>
    <w:rsid w:val="00C95679"/>
    <w:rsid w:val="00C96AA3"/>
    <w:rsid w:val="00CA1935"/>
    <w:rsid w:val="00CA48DA"/>
    <w:rsid w:val="00CA4F11"/>
    <w:rsid w:val="00CA6131"/>
    <w:rsid w:val="00CA6E0C"/>
    <w:rsid w:val="00CB18E1"/>
    <w:rsid w:val="00CB4022"/>
    <w:rsid w:val="00CB555E"/>
    <w:rsid w:val="00CB5DDD"/>
    <w:rsid w:val="00CB7C78"/>
    <w:rsid w:val="00CC13FF"/>
    <w:rsid w:val="00CC4FBF"/>
    <w:rsid w:val="00CC5CC2"/>
    <w:rsid w:val="00CD06C0"/>
    <w:rsid w:val="00CD0A8B"/>
    <w:rsid w:val="00CE0B78"/>
    <w:rsid w:val="00CE21F3"/>
    <w:rsid w:val="00CE6381"/>
    <w:rsid w:val="00CE7551"/>
    <w:rsid w:val="00CF06A5"/>
    <w:rsid w:val="00D0284F"/>
    <w:rsid w:val="00D0298E"/>
    <w:rsid w:val="00D03B18"/>
    <w:rsid w:val="00D05671"/>
    <w:rsid w:val="00D069E6"/>
    <w:rsid w:val="00D12BA3"/>
    <w:rsid w:val="00D13184"/>
    <w:rsid w:val="00D14C8F"/>
    <w:rsid w:val="00D16722"/>
    <w:rsid w:val="00D17D22"/>
    <w:rsid w:val="00D17E17"/>
    <w:rsid w:val="00D26740"/>
    <w:rsid w:val="00D312AD"/>
    <w:rsid w:val="00D42686"/>
    <w:rsid w:val="00D433F0"/>
    <w:rsid w:val="00D43F39"/>
    <w:rsid w:val="00D4566A"/>
    <w:rsid w:val="00D51723"/>
    <w:rsid w:val="00D5192F"/>
    <w:rsid w:val="00D538DF"/>
    <w:rsid w:val="00D63979"/>
    <w:rsid w:val="00D64BA7"/>
    <w:rsid w:val="00D71B8D"/>
    <w:rsid w:val="00D721F9"/>
    <w:rsid w:val="00D77DAE"/>
    <w:rsid w:val="00D80A88"/>
    <w:rsid w:val="00D91BA0"/>
    <w:rsid w:val="00D949A7"/>
    <w:rsid w:val="00DA5A88"/>
    <w:rsid w:val="00DA71EA"/>
    <w:rsid w:val="00DB14D3"/>
    <w:rsid w:val="00DB366D"/>
    <w:rsid w:val="00DB3772"/>
    <w:rsid w:val="00DB4ECC"/>
    <w:rsid w:val="00DB57AF"/>
    <w:rsid w:val="00DC0157"/>
    <w:rsid w:val="00DC4E96"/>
    <w:rsid w:val="00DC525E"/>
    <w:rsid w:val="00DD2BF3"/>
    <w:rsid w:val="00DD412D"/>
    <w:rsid w:val="00DD76E9"/>
    <w:rsid w:val="00DE15A3"/>
    <w:rsid w:val="00DE5836"/>
    <w:rsid w:val="00DF11A4"/>
    <w:rsid w:val="00DF1691"/>
    <w:rsid w:val="00DF1797"/>
    <w:rsid w:val="00DF7727"/>
    <w:rsid w:val="00E00677"/>
    <w:rsid w:val="00E028C4"/>
    <w:rsid w:val="00E0658D"/>
    <w:rsid w:val="00E120AA"/>
    <w:rsid w:val="00E128F4"/>
    <w:rsid w:val="00E12A37"/>
    <w:rsid w:val="00E15908"/>
    <w:rsid w:val="00E1727D"/>
    <w:rsid w:val="00E22E47"/>
    <w:rsid w:val="00E24247"/>
    <w:rsid w:val="00E24C96"/>
    <w:rsid w:val="00E25EB3"/>
    <w:rsid w:val="00E30907"/>
    <w:rsid w:val="00E329BA"/>
    <w:rsid w:val="00E34B2C"/>
    <w:rsid w:val="00E36ECB"/>
    <w:rsid w:val="00E42C4A"/>
    <w:rsid w:val="00E436AE"/>
    <w:rsid w:val="00E44938"/>
    <w:rsid w:val="00E44D9E"/>
    <w:rsid w:val="00E509B2"/>
    <w:rsid w:val="00E60644"/>
    <w:rsid w:val="00E611D5"/>
    <w:rsid w:val="00E6305E"/>
    <w:rsid w:val="00E72143"/>
    <w:rsid w:val="00E72EE4"/>
    <w:rsid w:val="00E74537"/>
    <w:rsid w:val="00E9029D"/>
    <w:rsid w:val="00E9089C"/>
    <w:rsid w:val="00E910ED"/>
    <w:rsid w:val="00E94021"/>
    <w:rsid w:val="00E96410"/>
    <w:rsid w:val="00E96FC9"/>
    <w:rsid w:val="00EA064C"/>
    <w:rsid w:val="00EA2396"/>
    <w:rsid w:val="00EA3BAB"/>
    <w:rsid w:val="00EA4091"/>
    <w:rsid w:val="00EB1627"/>
    <w:rsid w:val="00EB20FE"/>
    <w:rsid w:val="00EB26B2"/>
    <w:rsid w:val="00EB3A8D"/>
    <w:rsid w:val="00EB4B86"/>
    <w:rsid w:val="00EB77A7"/>
    <w:rsid w:val="00EC1B22"/>
    <w:rsid w:val="00EC1D18"/>
    <w:rsid w:val="00EC5FF0"/>
    <w:rsid w:val="00ED5344"/>
    <w:rsid w:val="00EE33FA"/>
    <w:rsid w:val="00EE3696"/>
    <w:rsid w:val="00EE39F7"/>
    <w:rsid w:val="00EE6B13"/>
    <w:rsid w:val="00EE6B7D"/>
    <w:rsid w:val="00EE6EC2"/>
    <w:rsid w:val="00EF21FE"/>
    <w:rsid w:val="00EF4B27"/>
    <w:rsid w:val="00EF4BB5"/>
    <w:rsid w:val="00EF5F76"/>
    <w:rsid w:val="00EF7578"/>
    <w:rsid w:val="00F01A50"/>
    <w:rsid w:val="00F01EF3"/>
    <w:rsid w:val="00F0397F"/>
    <w:rsid w:val="00F133DD"/>
    <w:rsid w:val="00F17197"/>
    <w:rsid w:val="00F23EA4"/>
    <w:rsid w:val="00F24B5D"/>
    <w:rsid w:val="00F26CA9"/>
    <w:rsid w:val="00F26ECC"/>
    <w:rsid w:val="00F26F80"/>
    <w:rsid w:val="00F2747C"/>
    <w:rsid w:val="00F27E97"/>
    <w:rsid w:val="00F33656"/>
    <w:rsid w:val="00F35F49"/>
    <w:rsid w:val="00F41139"/>
    <w:rsid w:val="00F424C6"/>
    <w:rsid w:val="00F52014"/>
    <w:rsid w:val="00F52E65"/>
    <w:rsid w:val="00F67CEE"/>
    <w:rsid w:val="00F727EB"/>
    <w:rsid w:val="00F73716"/>
    <w:rsid w:val="00F74031"/>
    <w:rsid w:val="00F74AC8"/>
    <w:rsid w:val="00F74AF1"/>
    <w:rsid w:val="00F74D51"/>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B5E24"/>
    <w:rsid w:val="00FB6452"/>
    <w:rsid w:val="00FB7DB8"/>
    <w:rsid w:val="00FC0C64"/>
    <w:rsid w:val="00FC2AF2"/>
    <w:rsid w:val="00FC3052"/>
    <w:rsid w:val="00FC44FA"/>
    <w:rsid w:val="00FC7212"/>
    <w:rsid w:val="00FC7B84"/>
    <w:rsid w:val="00FD1E1F"/>
    <w:rsid w:val="00FD3FE4"/>
    <w:rsid w:val="00FE0E36"/>
    <w:rsid w:val="00FE2482"/>
    <w:rsid w:val="00FE2E04"/>
    <w:rsid w:val="00FE51FE"/>
    <w:rsid w:val="00FF4CE9"/>
    <w:rsid w:val="00FF6615"/>
    <w:rsid w:val="00FF694E"/>
    <w:rsid w:val="00FF6F4B"/>
    <w:rsid w:val="00FF74D1"/>
    <w:rsid w:val="011C1158"/>
    <w:rsid w:val="015D79C3"/>
    <w:rsid w:val="049F4FCE"/>
    <w:rsid w:val="04A35221"/>
    <w:rsid w:val="072B0532"/>
    <w:rsid w:val="07952907"/>
    <w:rsid w:val="0C176A75"/>
    <w:rsid w:val="0DDC125D"/>
    <w:rsid w:val="0F976082"/>
    <w:rsid w:val="104C36E7"/>
    <w:rsid w:val="165A3666"/>
    <w:rsid w:val="16A41130"/>
    <w:rsid w:val="18A36A9D"/>
    <w:rsid w:val="192B3098"/>
    <w:rsid w:val="1BC4549D"/>
    <w:rsid w:val="1C7B1077"/>
    <w:rsid w:val="1CB05D8E"/>
    <w:rsid w:val="1F185E6D"/>
    <w:rsid w:val="204940BF"/>
    <w:rsid w:val="245813F1"/>
    <w:rsid w:val="24924BD3"/>
    <w:rsid w:val="256F28A5"/>
    <w:rsid w:val="25DF4DC6"/>
    <w:rsid w:val="260006E9"/>
    <w:rsid w:val="281C16DB"/>
    <w:rsid w:val="28400275"/>
    <w:rsid w:val="29D37D2A"/>
    <w:rsid w:val="2FE85327"/>
    <w:rsid w:val="31A11528"/>
    <w:rsid w:val="326A3247"/>
    <w:rsid w:val="3471222A"/>
    <w:rsid w:val="353F594A"/>
    <w:rsid w:val="36633D83"/>
    <w:rsid w:val="36781C94"/>
    <w:rsid w:val="37835052"/>
    <w:rsid w:val="38955079"/>
    <w:rsid w:val="3D3E2AEA"/>
    <w:rsid w:val="41245D63"/>
    <w:rsid w:val="415C595B"/>
    <w:rsid w:val="42911D95"/>
    <w:rsid w:val="43610097"/>
    <w:rsid w:val="445D7CFA"/>
    <w:rsid w:val="45DB2926"/>
    <w:rsid w:val="46B64452"/>
    <w:rsid w:val="4752380F"/>
    <w:rsid w:val="497B79EC"/>
    <w:rsid w:val="499F2B63"/>
    <w:rsid w:val="4B7D3361"/>
    <w:rsid w:val="4CC55317"/>
    <w:rsid w:val="4D74288B"/>
    <w:rsid w:val="501D29FE"/>
    <w:rsid w:val="512E4EF8"/>
    <w:rsid w:val="51AA0580"/>
    <w:rsid w:val="544E36DD"/>
    <w:rsid w:val="58C46142"/>
    <w:rsid w:val="5B6B7D6A"/>
    <w:rsid w:val="5BB97AB4"/>
    <w:rsid w:val="5C2F3BD1"/>
    <w:rsid w:val="5F145EFE"/>
    <w:rsid w:val="60B60EC2"/>
    <w:rsid w:val="60C32FB0"/>
    <w:rsid w:val="671C7CD6"/>
    <w:rsid w:val="68023255"/>
    <w:rsid w:val="69A64459"/>
    <w:rsid w:val="6CC85DA9"/>
    <w:rsid w:val="6F541DCF"/>
    <w:rsid w:val="6F9303AC"/>
    <w:rsid w:val="70D42367"/>
    <w:rsid w:val="717E7029"/>
    <w:rsid w:val="724261C3"/>
    <w:rsid w:val="72CF1C60"/>
    <w:rsid w:val="7433575A"/>
    <w:rsid w:val="75721F01"/>
    <w:rsid w:val="77B248FE"/>
    <w:rsid w:val="7E3A63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8"/>
    <w:qFormat/>
    <w:uiPriority w:val="0"/>
    <w:pPr>
      <w:keepNext/>
      <w:keepLines/>
      <w:adjustRightInd w:val="0"/>
      <w:snapToGrid w:val="0"/>
      <w:spacing w:line="360" w:lineRule="auto"/>
      <w:jc w:val="center"/>
      <w:outlineLvl w:val="0"/>
    </w:pPr>
    <w:rPr>
      <w:b/>
      <w:bCs/>
      <w:kern w:val="44"/>
      <w:sz w:val="28"/>
      <w:szCs w:val="44"/>
    </w:rPr>
  </w:style>
  <w:style w:type="paragraph" w:styleId="3">
    <w:name w:val="heading 2"/>
    <w:basedOn w:val="1"/>
    <w:next w:val="4"/>
    <w:qFormat/>
    <w:uiPriority w:val="0"/>
    <w:pPr>
      <w:keepNext/>
      <w:keepLines/>
      <w:spacing w:before="260" w:after="260" w:line="416" w:lineRule="auto"/>
      <w:jc w:val="center"/>
      <w:outlineLvl w:val="1"/>
    </w:pPr>
    <w:rPr>
      <w:rFonts w:ascii="幼圆" w:hAnsi="Arial" w:eastAsia="楷体_GB2312"/>
      <w:b/>
      <w:sz w:val="24"/>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link w:val="46"/>
    <w:qFormat/>
    <w:uiPriority w:val="0"/>
    <w:pPr>
      <w:keepNext/>
      <w:keepLines/>
      <w:spacing w:before="280" w:after="290" w:line="376" w:lineRule="auto"/>
      <w:outlineLvl w:val="3"/>
    </w:pPr>
    <w:rPr>
      <w:rFonts w:ascii="Cambria" w:hAnsi="Cambria"/>
      <w:b/>
      <w:bCs/>
      <w:sz w:val="28"/>
      <w:szCs w:val="28"/>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9"/>
    <w:qFormat/>
    <w:uiPriority w:val="0"/>
    <w:pPr>
      <w:ind w:firstLine="420" w:firstLineChars="200"/>
    </w:pPr>
  </w:style>
  <w:style w:type="paragraph" w:styleId="7">
    <w:name w:val="toc 7"/>
    <w:basedOn w:val="1"/>
    <w:next w:val="1"/>
    <w:unhideWhenUsed/>
    <w:qFormat/>
    <w:uiPriority w:val="39"/>
    <w:pPr>
      <w:ind w:left="2520" w:leftChars="1200"/>
    </w:pPr>
    <w:rPr>
      <w:rFonts w:ascii="Calibri" w:hAnsi="Calibri"/>
      <w:szCs w:val="22"/>
    </w:rPr>
  </w:style>
  <w:style w:type="paragraph" w:styleId="8">
    <w:name w:val="Body Text"/>
    <w:basedOn w:val="1"/>
    <w:qFormat/>
    <w:uiPriority w:val="0"/>
    <w:pPr>
      <w:spacing w:after="120"/>
    </w:pPr>
  </w:style>
  <w:style w:type="paragraph" w:styleId="9">
    <w:name w:val="Body Text Indent"/>
    <w:basedOn w:val="1"/>
    <w:unhideWhenUsed/>
    <w:qFormat/>
    <w:uiPriority w:val="0"/>
    <w:pPr>
      <w:spacing w:after="120"/>
      <w:ind w:left="420" w:leftChars="200"/>
    </w:pPr>
    <w:rPr>
      <w:rFonts w:ascii="Calibri" w:hAnsi="Calibri"/>
      <w:szCs w:val="22"/>
    </w:rPr>
  </w:style>
  <w:style w:type="paragraph" w:styleId="10">
    <w:name w:val="Block Text"/>
    <w:basedOn w:val="1"/>
    <w:qFormat/>
    <w:uiPriority w:val="0"/>
    <w:pPr>
      <w:widowControl/>
      <w:spacing w:after="120"/>
      <w:ind w:left="1440" w:leftChars="700" w:right="1440" w:rightChars="700"/>
      <w:jc w:val="left"/>
    </w:pPr>
    <w:rPr>
      <w:kern w:val="0"/>
      <w:sz w:val="20"/>
      <w:szCs w:val="20"/>
    </w:rPr>
  </w:style>
  <w:style w:type="paragraph" w:styleId="11">
    <w:name w:val="toc 5"/>
    <w:basedOn w:val="1"/>
    <w:next w:val="1"/>
    <w:unhideWhenUsed/>
    <w:qFormat/>
    <w:uiPriority w:val="39"/>
    <w:pPr>
      <w:ind w:left="1680" w:leftChars="800"/>
    </w:pPr>
    <w:rPr>
      <w:rFonts w:ascii="Calibri" w:hAnsi="Calibri"/>
      <w:szCs w:val="22"/>
    </w:rPr>
  </w:style>
  <w:style w:type="paragraph" w:styleId="12">
    <w:name w:val="toc 3"/>
    <w:basedOn w:val="8"/>
    <w:next w:val="8"/>
    <w:qFormat/>
    <w:uiPriority w:val="39"/>
    <w:pPr>
      <w:tabs>
        <w:tab w:val="right" w:leader="dot" w:pos="8640"/>
      </w:tabs>
      <w:spacing w:after="0"/>
      <w:ind w:firstLine="630" w:firstLineChars="300"/>
    </w:pPr>
  </w:style>
  <w:style w:type="paragraph" w:styleId="13">
    <w:name w:val="Plain Text"/>
    <w:basedOn w:val="1"/>
    <w:link w:val="53"/>
    <w:qFormat/>
    <w:uiPriority w:val="0"/>
    <w:rPr>
      <w:rFonts w:hint="eastAsia" w:ascii="宋体" w:hAnsi="Courier New"/>
      <w:szCs w:val="21"/>
    </w:rPr>
  </w:style>
  <w:style w:type="paragraph" w:styleId="14">
    <w:name w:val="toc 8"/>
    <w:basedOn w:val="1"/>
    <w:next w:val="1"/>
    <w:unhideWhenUsed/>
    <w:qFormat/>
    <w:uiPriority w:val="39"/>
    <w:pPr>
      <w:ind w:left="2940" w:leftChars="1400"/>
    </w:pPr>
    <w:rPr>
      <w:rFonts w:ascii="Calibri" w:hAnsi="Calibri"/>
      <w:szCs w:val="22"/>
    </w:rPr>
  </w:style>
  <w:style w:type="paragraph" w:styleId="15">
    <w:name w:val="Date"/>
    <w:basedOn w:val="1"/>
    <w:next w:val="1"/>
    <w:qFormat/>
    <w:uiPriority w:val="0"/>
    <w:pPr>
      <w:ind w:left="100" w:leftChars="2500"/>
    </w:pPr>
  </w:style>
  <w:style w:type="paragraph" w:styleId="16">
    <w:name w:val="Body Text Indent 2"/>
    <w:basedOn w:val="1"/>
    <w:link w:val="45"/>
    <w:qFormat/>
    <w:uiPriority w:val="0"/>
    <w:pPr>
      <w:spacing w:after="120" w:line="480" w:lineRule="auto"/>
      <w:ind w:left="420" w:leftChars="200"/>
    </w:pPr>
  </w:style>
  <w:style w:type="paragraph" w:styleId="17">
    <w:name w:val="Balloon Text"/>
    <w:basedOn w:val="1"/>
    <w:qFormat/>
    <w:uiPriority w:val="0"/>
    <w:rPr>
      <w:sz w:val="18"/>
      <w:szCs w:val="18"/>
    </w:rPr>
  </w:style>
  <w:style w:type="paragraph" w:styleId="18">
    <w:name w:val="footer"/>
    <w:basedOn w:val="1"/>
    <w:link w:val="41"/>
    <w:qFormat/>
    <w:uiPriority w:val="99"/>
    <w:pPr>
      <w:tabs>
        <w:tab w:val="center" w:pos="4153"/>
        <w:tab w:val="right" w:pos="8306"/>
      </w:tabs>
      <w:snapToGrid w:val="0"/>
      <w:jc w:val="left"/>
    </w:pPr>
    <w:rPr>
      <w:sz w:val="18"/>
      <w:szCs w:val="18"/>
    </w:rPr>
  </w:style>
  <w:style w:type="paragraph" w:styleId="19">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4"/>
    <w:basedOn w:val="1"/>
    <w:next w:val="1"/>
    <w:unhideWhenUsed/>
    <w:qFormat/>
    <w:uiPriority w:val="39"/>
    <w:pPr>
      <w:ind w:left="1260" w:leftChars="600"/>
    </w:pPr>
    <w:rPr>
      <w:rFonts w:ascii="Calibri" w:hAnsi="Calibri"/>
      <w:szCs w:val="22"/>
    </w:rPr>
  </w:style>
  <w:style w:type="paragraph" w:styleId="22">
    <w:name w:val="toc 6"/>
    <w:basedOn w:val="1"/>
    <w:next w:val="1"/>
    <w:unhideWhenUsed/>
    <w:qFormat/>
    <w:uiPriority w:val="39"/>
    <w:pPr>
      <w:ind w:left="2100" w:leftChars="1000"/>
    </w:pPr>
    <w:rPr>
      <w:rFonts w:ascii="Calibri" w:hAnsi="Calibri"/>
      <w:szCs w:val="22"/>
    </w:rPr>
  </w:style>
  <w:style w:type="paragraph" w:styleId="23">
    <w:name w:val="toc 2"/>
    <w:basedOn w:val="1"/>
    <w:next w:val="1"/>
    <w:qFormat/>
    <w:uiPriority w:val="39"/>
    <w:pPr>
      <w:ind w:left="420" w:leftChars="200"/>
    </w:pPr>
  </w:style>
  <w:style w:type="paragraph" w:styleId="24">
    <w:name w:val="toc 9"/>
    <w:basedOn w:val="1"/>
    <w:next w:val="1"/>
    <w:qFormat/>
    <w:uiPriority w:val="39"/>
    <w:pPr>
      <w:ind w:left="3360" w:leftChars="1600"/>
    </w:pPr>
  </w:style>
  <w:style w:type="paragraph" w:styleId="25">
    <w:name w:val="Normal (Web)"/>
    <w:basedOn w:val="1"/>
    <w:link w:val="48"/>
    <w:qFormat/>
    <w:uiPriority w:val="0"/>
    <w:pPr>
      <w:widowControl/>
      <w:spacing w:before="100" w:beforeAutospacing="1" w:after="100" w:afterAutospacing="1"/>
      <w:jc w:val="left"/>
    </w:pPr>
    <w:rPr>
      <w:rFonts w:ascii="宋体" w:hAnsi="宋体"/>
      <w:kern w:val="0"/>
      <w:sz w:val="24"/>
    </w:rPr>
  </w:style>
  <w:style w:type="paragraph" w:styleId="26">
    <w:name w:val="index 1"/>
    <w:basedOn w:val="1"/>
    <w:next w:val="1"/>
    <w:qFormat/>
    <w:uiPriority w:val="0"/>
    <w:pPr>
      <w:spacing w:line="276" w:lineRule="auto"/>
      <w:jc w:val="center"/>
    </w:pPr>
    <w:rPr>
      <w:rFonts w:ascii="仿宋_GB2312" w:eastAsia="仿宋_GB2312"/>
      <w:sz w:val="32"/>
      <w:szCs w:val="32"/>
    </w:rPr>
  </w:style>
  <w:style w:type="paragraph" w:styleId="27">
    <w:name w:val="Title"/>
    <w:basedOn w:val="1"/>
    <w:next w:val="1"/>
    <w:link w:val="34"/>
    <w:qFormat/>
    <w:uiPriority w:val="0"/>
    <w:pPr>
      <w:adjustRightInd w:val="0"/>
      <w:snapToGrid w:val="0"/>
      <w:spacing w:line="360" w:lineRule="auto"/>
      <w:jc w:val="center"/>
      <w:outlineLvl w:val="0"/>
    </w:pPr>
    <w:rPr>
      <w:rFonts w:ascii="Cambria" w:hAnsi="Cambria"/>
      <w:b/>
      <w:bCs/>
      <w:sz w:val="32"/>
      <w:szCs w:val="32"/>
    </w:r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Hyperlink"/>
    <w:qFormat/>
    <w:uiPriority w:val="99"/>
    <w:rPr>
      <w:color w:val="0000FF"/>
      <w:u w:val="single"/>
    </w:rPr>
  </w:style>
  <w:style w:type="character" w:customStyle="1" w:styleId="34">
    <w:name w:val="标题 Char"/>
    <w:link w:val="27"/>
    <w:qFormat/>
    <w:uiPriority w:val="0"/>
    <w:rPr>
      <w:rFonts w:ascii="Cambria" w:hAnsi="Cambria" w:cs="Times New Roman"/>
      <w:b/>
      <w:bCs/>
      <w:kern w:val="2"/>
      <w:sz w:val="32"/>
      <w:szCs w:val="32"/>
    </w:rPr>
  </w:style>
  <w:style w:type="character" w:customStyle="1" w:styleId="35">
    <w:name w:val="样式1 Char Char"/>
    <w:link w:val="36"/>
    <w:qFormat/>
    <w:uiPriority w:val="0"/>
    <w:rPr>
      <w:rFonts w:ascii="宋体" w:hAnsi="宋体"/>
      <w:b/>
      <w:sz w:val="24"/>
      <w:szCs w:val="24"/>
    </w:rPr>
  </w:style>
  <w:style w:type="paragraph" w:customStyle="1" w:styleId="36">
    <w:name w:val="样式1"/>
    <w:basedOn w:val="1"/>
    <w:link w:val="35"/>
    <w:qFormat/>
    <w:uiPriority w:val="0"/>
    <w:pPr>
      <w:autoSpaceDE w:val="0"/>
      <w:autoSpaceDN w:val="0"/>
      <w:adjustRightInd w:val="0"/>
      <w:snapToGrid w:val="0"/>
      <w:spacing w:line="360" w:lineRule="auto"/>
      <w:jc w:val="left"/>
    </w:pPr>
    <w:rPr>
      <w:rFonts w:ascii="宋体" w:hAnsi="宋体"/>
      <w:b/>
      <w:kern w:val="0"/>
      <w:sz w:val="24"/>
    </w:rPr>
  </w:style>
  <w:style w:type="character" w:customStyle="1" w:styleId="37">
    <w:name w:val="纯文本 Char"/>
    <w:qFormat/>
    <w:uiPriority w:val="0"/>
    <w:rPr>
      <w:rFonts w:eastAsia="宋体"/>
      <w:kern w:val="2"/>
      <w:sz w:val="28"/>
      <w:lang w:val="en-US" w:eastAsia="zh-CN" w:bidi="ar-SA"/>
    </w:rPr>
  </w:style>
  <w:style w:type="character" w:customStyle="1" w:styleId="38">
    <w:name w:val="标题 1 Char"/>
    <w:link w:val="2"/>
    <w:qFormat/>
    <w:uiPriority w:val="0"/>
    <w:rPr>
      <w:b/>
      <w:bCs/>
      <w:kern w:val="44"/>
      <w:sz w:val="28"/>
      <w:szCs w:val="44"/>
    </w:rPr>
  </w:style>
  <w:style w:type="character" w:customStyle="1" w:styleId="39">
    <w:name w:val="area_1"/>
    <w:qFormat/>
    <w:uiPriority w:val="0"/>
    <w:rPr>
      <w:rFonts w:ascii="宋体" w:hAnsi="宋体"/>
      <w:sz w:val="24"/>
    </w:rPr>
  </w:style>
  <w:style w:type="character" w:customStyle="1" w:styleId="40">
    <w:name w:val="+正文 Char Char4"/>
    <w:qFormat/>
    <w:uiPriority w:val="0"/>
    <w:rPr>
      <w:rFonts w:eastAsia="宋体"/>
      <w:kern w:val="2"/>
      <w:sz w:val="24"/>
      <w:lang w:val="en-US" w:eastAsia="zh-CN"/>
    </w:rPr>
  </w:style>
  <w:style w:type="character" w:customStyle="1" w:styleId="41">
    <w:name w:val="页脚 Char"/>
    <w:link w:val="18"/>
    <w:qFormat/>
    <w:locked/>
    <w:uiPriority w:val="99"/>
    <w:rPr>
      <w:rFonts w:eastAsia="宋体"/>
      <w:kern w:val="2"/>
      <w:sz w:val="18"/>
      <w:szCs w:val="18"/>
      <w:lang w:val="en-US" w:eastAsia="zh-CN" w:bidi="ar-SA"/>
    </w:rPr>
  </w:style>
  <w:style w:type="character" w:customStyle="1" w:styleId="42">
    <w:name w:val="样式2 Char Char"/>
    <w:link w:val="43"/>
    <w:qFormat/>
    <w:uiPriority w:val="0"/>
    <w:rPr>
      <w:rFonts w:ascii="宋体" w:hAnsi="宋体" w:cs="宋体"/>
      <w:b/>
      <w:sz w:val="24"/>
      <w:szCs w:val="24"/>
    </w:rPr>
  </w:style>
  <w:style w:type="paragraph" w:customStyle="1" w:styleId="43">
    <w:name w:val="样式2"/>
    <w:basedOn w:val="25"/>
    <w:link w:val="42"/>
    <w:qFormat/>
    <w:uiPriority w:val="0"/>
    <w:pPr>
      <w:adjustRightInd w:val="0"/>
      <w:snapToGrid w:val="0"/>
      <w:spacing w:before="0" w:beforeAutospacing="0" w:after="0" w:afterAutospacing="0" w:line="360" w:lineRule="auto"/>
      <w:outlineLvl w:val="1"/>
    </w:pPr>
    <w:rPr>
      <w:b/>
    </w:rPr>
  </w:style>
  <w:style w:type="character" w:customStyle="1" w:styleId="44">
    <w:name w:val="页眉 Char"/>
    <w:link w:val="19"/>
    <w:qFormat/>
    <w:uiPriority w:val="0"/>
    <w:rPr>
      <w:kern w:val="2"/>
      <w:sz w:val="18"/>
      <w:szCs w:val="18"/>
    </w:rPr>
  </w:style>
  <w:style w:type="character" w:customStyle="1" w:styleId="45">
    <w:name w:val="正文文本缩进 2 Char"/>
    <w:link w:val="16"/>
    <w:qFormat/>
    <w:uiPriority w:val="0"/>
    <w:rPr>
      <w:kern w:val="2"/>
      <w:sz w:val="21"/>
      <w:szCs w:val="24"/>
    </w:rPr>
  </w:style>
  <w:style w:type="character" w:customStyle="1" w:styleId="46">
    <w:name w:val="标题 4 Char"/>
    <w:link w:val="6"/>
    <w:qFormat/>
    <w:uiPriority w:val="0"/>
    <w:rPr>
      <w:rFonts w:ascii="Cambria" w:hAnsi="Cambria" w:cs="黑体"/>
      <w:b/>
      <w:bCs/>
      <w:kern w:val="2"/>
      <w:sz w:val="28"/>
      <w:szCs w:val="28"/>
    </w:rPr>
  </w:style>
  <w:style w:type="character" w:customStyle="1" w:styleId="47">
    <w:name w:val="标题 2 Char1"/>
    <w:qFormat/>
    <w:uiPriority w:val="0"/>
    <w:rPr>
      <w:rFonts w:ascii="Cambria" w:hAnsi="Cambria" w:eastAsia="宋体" w:cs="Times New Roman"/>
      <w:b/>
      <w:bCs/>
      <w:sz w:val="32"/>
      <w:szCs w:val="32"/>
    </w:rPr>
  </w:style>
  <w:style w:type="character" w:customStyle="1" w:styleId="48">
    <w:name w:val="普通(网站) Char"/>
    <w:link w:val="25"/>
    <w:qFormat/>
    <w:uiPriority w:val="0"/>
    <w:rPr>
      <w:rFonts w:ascii="宋体" w:hAnsi="宋体" w:cs="宋体"/>
      <w:sz w:val="24"/>
      <w:szCs w:val="24"/>
    </w:rPr>
  </w:style>
  <w:style w:type="character" w:customStyle="1" w:styleId="49">
    <w:name w:val="正文缩进 Char"/>
    <w:link w:val="4"/>
    <w:qFormat/>
    <w:uiPriority w:val="0"/>
    <w:rPr>
      <w:kern w:val="2"/>
      <w:sz w:val="21"/>
      <w:szCs w:val="24"/>
    </w:rPr>
  </w:style>
  <w:style w:type="character" w:customStyle="1" w:styleId="50">
    <w:name w:val="Header Char"/>
    <w:qFormat/>
    <w:locked/>
    <w:uiPriority w:val="0"/>
    <w:rPr>
      <w:rFonts w:cs="Times New Roman"/>
      <w:sz w:val="18"/>
      <w:szCs w:val="18"/>
    </w:rPr>
  </w:style>
  <w:style w:type="character" w:customStyle="1" w:styleId="51">
    <w:name w:val="无间隔 Char"/>
    <w:link w:val="52"/>
    <w:qFormat/>
    <w:uiPriority w:val="0"/>
    <w:rPr>
      <w:rFonts w:ascii="Calibri" w:hAnsi="Calibri"/>
      <w:kern w:val="2"/>
      <w:sz w:val="21"/>
      <w:szCs w:val="21"/>
      <w:lang w:val="en-US" w:eastAsia="zh-CN" w:bidi="ar-SA"/>
    </w:rPr>
  </w:style>
  <w:style w:type="paragraph" w:styleId="52">
    <w:name w:val="No Spacing"/>
    <w:link w:val="51"/>
    <w:qFormat/>
    <w:uiPriority w:val="0"/>
    <w:pPr>
      <w:widowControl w:val="0"/>
      <w:jc w:val="both"/>
    </w:pPr>
    <w:rPr>
      <w:rFonts w:ascii="Calibri" w:hAnsi="Calibri" w:eastAsia="宋体" w:cs="Times New Roman"/>
      <w:kern w:val="2"/>
      <w:sz w:val="21"/>
      <w:szCs w:val="21"/>
      <w:lang w:val="en-US" w:eastAsia="zh-CN" w:bidi="ar-SA"/>
    </w:rPr>
  </w:style>
  <w:style w:type="character" w:customStyle="1" w:styleId="53">
    <w:name w:val="纯文本 Char1"/>
    <w:link w:val="13"/>
    <w:qFormat/>
    <w:uiPriority w:val="0"/>
    <w:rPr>
      <w:rFonts w:hint="eastAsia" w:ascii="宋体" w:hAnsi="Courier New" w:eastAsia="宋体" w:cs="Courier New"/>
      <w:kern w:val="2"/>
      <w:sz w:val="21"/>
      <w:szCs w:val="21"/>
    </w:rPr>
  </w:style>
  <w:style w:type="character" w:customStyle="1" w:styleId="54">
    <w:name w:val="纯文本 Char Char"/>
    <w:qFormat/>
    <w:uiPriority w:val="0"/>
    <w:rPr>
      <w:rFonts w:ascii="宋体" w:hAnsi="Courier New"/>
      <w:kern w:val="2"/>
      <w:sz w:val="21"/>
    </w:rPr>
  </w:style>
  <w:style w:type="paragraph" w:customStyle="1" w:styleId="55">
    <w:name w:val="标题3"/>
    <w:basedOn w:val="5"/>
    <w:qFormat/>
    <w:uiPriority w:val="0"/>
    <w:pPr>
      <w:keepNext w:val="0"/>
      <w:keepLines w:val="0"/>
      <w:spacing w:before="0" w:after="0" w:line="360" w:lineRule="auto"/>
    </w:pPr>
    <w:rPr>
      <w:rFonts w:eastAsia="楷体_GB2312"/>
      <w:b w:val="0"/>
      <w:sz w:val="36"/>
    </w:rPr>
  </w:style>
  <w:style w:type="paragraph" w:customStyle="1" w:styleId="56">
    <w:name w:val="列出段落1"/>
    <w:basedOn w:val="1"/>
    <w:qFormat/>
    <w:uiPriority w:val="34"/>
    <w:pPr>
      <w:ind w:firstLine="420" w:firstLineChars="200"/>
    </w:pPr>
  </w:style>
  <w:style w:type="paragraph" w:customStyle="1" w:styleId="57">
    <w:name w:val="目录文字"/>
    <w:basedOn w:val="1"/>
    <w:qFormat/>
    <w:uiPriority w:val="0"/>
    <w:pPr>
      <w:widowControl/>
      <w:spacing w:line="480" w:lineRule="auto"/>
      <w:jc w:val="left"/>
    </w:pPr>
    <w:rPr>
      <w:rFonts w:ascii="宋体" w:hAnsi="宋体"/>
      <w:kern w:val="0"/>
      <w:sz w:val="24"/>
      <w:szCs w:val="20"/>
    </w:rPr>
  </w:style>
  <w:style w:type="paragraph" w:customStyle="1" w:styleId="58">
    <w:name w:val="1"/>
    <w:basedOn w:val="1"/>
    <w:next w:val="10"/>
    <w:qFormat/>
    <w:uiPriority w:val="0"/>
    <w:pPr>
      <w:adjustRightInd w:val="0"/>
      <w:ind w:left="420" w:right="33"/>
      <w:jc w:val="left"/>
      <w:textAlignment w:val="baseline"/>
    </w:pPr>
    <w:rPr>
      <w:kern w:val="0"/>
      <w:sz w:val="24"/>
      <w:szCs w:val="20"/>
    </w:rPr>
  </w:style>
  <w:style w:type="paragraph" w:customStyle="1" w:styleId="59">
    <w:name w:val="文档正文"/>
    <w:basedOn w:val="1"/>
    <w:qFormat/>
    <w:uiPriority w:val="0"/>
    <w:pPr>
      <w:adjustRightInd w:val="0"/>
      <w:spacing w:line="480" w:lineRule="atLeast"/>
      <w:ind w:firstLine="567"/>
      <w:textAlignment w:val="baseline"/>
    </w:pPr>
    <w:rPr>
      <w:rFonts w:eastAsia="楷体_GB2312"/>
      <w:kern w:val="0"/>
      <w:sz w:val="28"/>
    </w:rPr>
  </w:style>
  <w:style w:type="paragraph" w:customStyle="1" w:styleId="60">
    <w:name w:val="节标题"/>
    <w:basedOn w:val="1"/>
    <w:qFormat/>
    <w:uiPriority w:val="0"/>
    <w:pPr>
      <w:widowControl/>
      <w:spacing w:line="289" w:lineRule="atLeast"/>
      <w:jc w:val="center"/>
    </w:pPr>
    <w:rPr>
      <w:color w:val="000000"/>
      <w:kern w:val="0"/>
      <w:sz w:val="28"/>
      <w:szCs w:val="28"/>
    </w:rPr>
  </w:style>
  <w:style w:type="paragraph" w:customStyle="1" w:styleId="61">
    <w:name w:val="Default"/>
    <w:qFormat/>
    <w:uiPriority w:val="0"/>
    <w:pPr>
      <w:widowControl w:val="0"/>
      <w:autoSpaceDE w:val="0"/>
      <w:autoSpaceDN w:val="0"/>
      <w:adjustRightInd w:val="0"/>
    </w:pPr>
    <w:rPr>
      <w:rFonts w:ascii="宋体氜." w:hAnsi="Calibri" w:eastAsia="宋体氜." w:cs="宋体氜."/>
      <w:color w:val="000000"/>
      <w:sz w:val="24"/>
      <w:szCs w:val="24"/>
      <w:lang w:val="en-US" w:eastAsia="zh-CN" w:bidi="ar-SA"/>
    </w:rPr>
  </w:style>
  <w:style w:type="paragraph" w:customStyle="1" w:styleId="62">
    <w:name w:val="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3">
    <w:name w:val="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64">
    <w:name w:val="List Paragraph"/>
    <w:basedOn w:val="1"/>
    <w:qFormat/>
    <w:uiPriority w:val="34"/>
    <w:pPr>
      <w:ind w:firstLine="420" w:firstLineChars="200"/>
    </w:pPr>
    <w:rPr>
      <w:rFonts w:ascii="Calibri" w:hAnsi="Calibri"/>
      <w:szCs w:val="22"/>
    </w:rPr>
  </w:style>
  <w:style w:type="paragraph" w:customStyle="1" w:styleId="65">
    <w:name w:val="二级列表"/>
    <w:basedOn w:val="1"/>
    <w:qFormat/>
    <w:uiPriority w:val="0"/>
    <w:pPr>
      <w:numPr>
        <w:ilvl w:val="0"/>
        <w:numId w:val="1"/>
      </w:numPr>
      <w:spacing w:line="360" w:lineRule="auto"/>
    </w:pPr>
    <w:rPr>
      <w:szCs w:val="20"/>
    </w:rPr>
  </w:style>
  <w:style w:type="character" w:customStyle="1" w:styleId="66">
    <w:name w:val="正文缩进 Char1"/>
    <w:qFormat/>
    <w:uiPriority w:val="0"/>
    <w:rPr>
      <w:rFonts w:eastAsia="宋体"/>
      <w:kern w:val="2"/>
      <w:sz w:val="21"/>
      <w:lang w:val="en-US" w:eastAsia="zh-CN"/>
    </w:rPr>
  </w:style>
  <w:style w:type="paragraph" w:customStyle="1" w:styleId="67">
    <w:name w:val="列出段落11"/>
    <w:basedOn w:val="1"/>
    <w:qFormat/>
    <w:uiPriority w:val="34"/>
    <w:pPr>
      <w:ind w:firstLine="420" w:firstLineChars="200"/>
    </w:pPr>
    <w:rPr>
      <w:rFonts w:ascii="Calibri" w:hAnsi="Calibri"/>
      <w:szCs w:val="22"/>
    </w:rPr>
  </w:style>
  <w:style w:type="table" w:customStyle="1" w:styleId="6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371B-79F0-47A3-B773-DD1BE5FABA5B}">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26</Pages>
  <Words>8736</Words>
  <Characters>9248</Characters>
  <Lines>77</Lines>
  <Paragraphs>21</Paragraphs>
  <TotalTime>51</TotalTime>
  <ScaleCrop>false</ScaleCrop>
  <LinksUpToDate>false</LinksUpToDate>
  <CharactersWithSpaces>9953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2023-02-17T07:12:00Z</dcterms:created>
  <dc:creator>lx</dc:creator>
  <cp:lastModifiedBy>鹿笙</cp:lastModifiedBy>
  <cp:lastPrinted>2020-05-06T08:36:00Z</cp:lastPrinted>
  <dcterms:modified xsi:type="dcterms:W3CDTF">2023-03-06T07:48:39Z</dcterms:modified>
  <dc:title>谈判文件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4F4E785577C243C3805A2C8DF8C8777A</vt:lpwstr>
  </property>
</Properties>
</file>